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People have the capacity to self-correct, but it can be hindered when the space of model exploration strains cognitive limits. Model-switching theories and associative-memory models of categorization capture this partially: they allow one model at a time and abstract from information acquisition. I model shifts in “mindsets” as a choice of how much model uncertainty to entertain: given a default mental model and a menu of latent alternatives, a decision maker jointly chooses how much attention to give each and how much information to acquire. A microfounded evidence constraint bounds motivated beliefs: the weight an alternative can carry is capped by its Bayesian posterior probability. Curiosity then arises endogenously as a drive to resolve model uncertainty from evidence for a higher-payoff alternative. The model reproduces neural remapping regularities and unifies belief-updating distortions with information-acquisition anomalies. It offers new mechanisms for two effects central to associative memory. First, context effects: cues matter through the explanations they support, not just superficial similarity, so interventions can reframe interpretations rather than draw attention. Second, interference effects: alternatives block one another through fragmentation of evidence, not just memory retrieval, so interventions can distinguish explanations rather than strengthen target cues. I illustrate these principles where active information-seeking is crucial: drawing parents’ attention to school-based agricultural extension and promoting new teaching, study, and farming practices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