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2"/>
          <w:szCs w:val="22"/>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2"/>
          <w:szCs w:val="22"/>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increasingly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Two results follow. First, the evidence constraint interacts with a complementarity between model weights and information acquisition to create curiosity traps. Second, because agents can seek information and reason beyond what associative memory supplies, the framework isolates the influence of the information environment from hallmark behavioral effects in memory-based models (e.g., Bordalo et al., 2025, 2026). Last, I endogenize the menu of mental models, formalizing creative and critical thinking as complementary forms of cognitive dimension reduction that sustain curiosity. I illustrate the theory throughout with development programs, teacher training, and agricultural technology adoption.</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2"/>
          <w:szCs w:val="22"/>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