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alternatives chooses model weights and how much information to acquire. The key discipline is a neurally grounded evidence constraint that bounds motivated beliefs: an alternative’s weight is capped by its Bayesian posterior. Curiosity then arises endogenously as a drive to resolve the resulting model uncertainty, which imposes hedging costs. By letting agents seek information and move beyond the familiar interpretation that associative memory supplies, the model revises two hallmark effects of memory-based models. First, context effects: contextual cues that are payoff-irrelevant under the default sway decisions only when they activate an alternative under which they matter, and the curiosity this creates drives self-correction. Persistent context effects thus reflect the information environment. Second, interference effects: cues consistent with several alternatives divide the evidence among them, so none may be activated and the agent stays incurious. Development examples illustrate principles for stimulating curiosity about innovative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