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have the capacity to self-correct, but it can be hindered when the space of model exploration strains cognitive limits. Model-switching theories and associative-memory models of categorization capture this partially: they allow one model at a time and abstract from information acquisition. I model shifts in “mindsets” as a choice of how much model uncertainty to entertain: given a default mental model and a menu of latent alternatives, a decision maker jointly chooses how much attention to give each and how much information to acquire. A microfounded evidence constraint bounds motivated beliefs: the weight an alternative can carry is capped by its Bayesian posterior probability. Curiosity then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 memory.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continuous information-seeking is crucial: drawing parents’ attention to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