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increasingly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Contextual cues that are payoff-irrelevant under the default sway decisions only when they activate an alternative under which they are relevant, and the curiosity this stimulates tests that alternative, so the shift lasts only if evidence supports it. Yet cues consistent with multiple alternatives can stifle exploration of a promising one by dividing the evidence among them, even if the agent would never entertain the others. I analyze creative and critical thinking as forms of cognitive dimension reduction that sustain curiosity, and apply the theory to stimulating curiosity about innovative development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