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This study highlights a management aspect of agricultural technology adoption that responds strongly to nudges: even where engaged parents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