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increasingly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Contextual cues payoff-irrelevant under the default sway decisions only when they activate an alternative under which they are relevant, and the curiosity this stimulates tests that alternative, so the shift lasts only if evidence supports it. Yet cues consistent with multiple alternatives can stifle exploration of a promising one by dividing the evidence among them, even if the agent would never entertain the others. I analyze creative and critical thinking as forms of cognitive dimension reduction that sustain curiosity, and apply the theory to stimulating curiosity about innovative development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