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sway decisions only when they activate an alternative under which they matter, and the curiosity this stimulates tests that alternative, so the shift lasts only if evidence supports it. Yet cues consistent with multiple alternatives can stifle exploration of a promising one by dividing the evidence among them, even if the agent would never entertain the others. I analyze creativity and critical thinking as forms of cognitive dimension reduction that sustain curiosity, and illustrate implications for stimulating curiosity about innovative development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