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creativity, and critical thinking through the lens of cognitive map theory</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whether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and absenteeism falls 28%. The program is more cost-effective than most extension programs in Africa and over twice as cost-effective as conditional cash transfers in raising attendance. SBAE has strong positive training effects that are unaltered by parental engagement. However, without parental engagement, SBAE’s diffusion mechanisms via school demonstration farms, home projects, and intra-household communication stay muted—technology adoption effects vanish, absenteeism rises 31%, and parents reduce school visits below control. Parents’ avoidance of information about a new program, plus reversed effects under engagement, poses a puzzle to Bayesian updating under a fixed prior. I attribute these patterns to parents conflating SBAE with a discredited school-garden preconception.</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“Catalyzing Technology Diffusion in Africa through School-Based Agricultural Extension”</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Neural Capacity Constraints”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alternatives, an agent chooses how much attention to pay to each and how much information to acquire. The choice is disciplined against motivated beliefs by a microfounded capacity constraint: the weight assigned to an alternative is capped by its likelihood relative to the default and to the other alternatives. Curiosity then arises endogenously as a drive to resolve the model uncertainty that evidence creates. The model matches regularities of neural remapping, with two results that matter for stimulating curiosity. First, framing of evidence matters because an alternative is activated only when the evidence makes the default indefensible against it, and threshold effects govern how attention shifts: gradually, abruptly, or not at all. Second, when several alternatives each beat the default, none may be activated, because evidence spread across rivals dilutes the weight each can carry.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