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have the capacity to self-correct, but it can be hindered when the space of model exploration strains cognitive limits. Model-switching theories and associative-memory models of categorization capture this partially: they allow one model at a time and abstract from information acquisition. I model shifts in “mindsets” as a choice of how much model uncertainty to entertain: given a default mental model and a menu of latent, higher-payoff alternatives, a decision maker jointly chooses how much attention to give each and how much information to acquire. A microfounded evidence constraint bounds motivated beliefs: the weight an alternative can carry is capped by its Bayesian posterior probability. Curiosity then arises endogenously as a drive to resolve model uncertainty from evidence for a higher-payoff alternative. The model reproduces neural remapping regularities and unifies belief-updating distortions with information-acquisition anomalies. It offers new mechanisms for two effects central to associative memory. First, context effects: cues matter through the explanations they support, not just superficial similarity, so interventions can reframe interpretations rather than draw attention. Second, interference effects: alternatives block one another through fragmentation of evidence, not just memory retrieval, so interventions can distinguish explanations rather than strengthen target cues. I illustrate these principles where active information-seeking is crucial: engaging parents in Liberia’s school-based agricultural extension and promoting new teaching, study, and farming practices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