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that interpretation begins to fail, people entertain less familiar alternatives. This paper treats contextual shifts in “mindsets” as a choice of how much model uncertainty to entertain. Each mental model pairs a prior with a view of how observable features combine to reveal the state, so weighting models changes how a person interprets a situation. After an initial signal, an agent with a costless default and latent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informational mechanisms for two effects central to models of associative memory. First, context effects: payoff-irrelevant cues (e.g., the blue color of a fertilizer spoon) sway decisions only when another model (e.g., one in which dosage matters and blue marks the recommended dose) makes them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