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 neurally grounded evidence constraint that bounds motivated beliefs: an alternative’s weight is capped by its Bayesian posterior. Curiosity then arises endogenously as the value of resolving the model uncertainty triggered by the initial signal. By letting agents seek information and move beyond what associative memory supplies, the model shows how people’s ability to self-correct depends on the information environment. This revises two hallmark effects in memory-based models. First, context effects: contextual cues that are payoff-irrelevant under the default sway decisions only when they activate an alternative under which they matter, and the curiosity this creates drives self-correction. Second, interference effects: cues consistent with several alternatives divide the evidence among them, so none may be activated and the agent stays incurious. Development examples illustrate principles for stimulating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