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signal triggers. Because agents can seek information beyond what associative memory supplies, the model shows that how far irrelevant context distorts judgment and choice depends on the information environment, thereby revising two hallmark effects in memory-based models. First, cues that are payoff-irrelevant under the default sway decisions only when they activate an alternative under which they matter, and the resulting curiosity drives self-correction when evidence is unbiased. Second, cues consistent with several alternatives divide the evidence among them, so none may be activated, even when each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