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4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examines the extent to which programs with innovative elements—which parents may misperceive—hinge on strengthening these ties to succeed.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randomized trials in sub-Saharan Africa, and over twice as cost-effective as a widely cited cash-transfer benchmark for the region (Baird et al. 2011).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 or “parents are not involved.”</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farmers’ experience a noisy guide to what suits one’s own farm,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own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I model contextual shifts in “mindsets” as a choice of how much model uncertainty to entertain: from a default mental model and a menu of latent, imprecise, and potentially more promising alternatives, an agent chooses how much attention to pay to each and how much information to acquire. This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reproduces regularities of neural remapping and unifies classic belief-updating distortions with information-acquisition anomalies. Two principles follow for how curiosity can be stimulated.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be activated, however strong the evidence. I apply the framework to the design of information interventions for a school-based agricultural extension program in Liberia, and to pedagogy and learning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