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how agents jointly choose how much weight to place on mental model(s) alternative to a default—possibly several at once—and how much effort to invest in acquiring information about a new situation, 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it,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When school programs require students to make changes on household farms, is informing parents about the program sufficient, or is further signaling their support to students needed? In a randomized evaluation of school-based agricultural extension (SBAE) across 197 Liberian schools, where students take school farm training into a home farming project, I design a nudge revealing to students their parents’ optimism about their farm-management skills. Two years later, SBAE improves students’ livelihoods and schooling only with it: income rises 63%, on-time school fee payment 43–47%, and cost-effectiveness for attendance doubles. Farm interactions unique to the targeted parent-student pair pinpoint the mechanism: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35D42570" w14:textId="77777777" w:rsidR="00FA6E2B" w:rsidRDefault="00000000">
      <w:pPr>
        <w:spacing w:after="20"/>
      </w:pPr>
      <w:r>
        <w:rPr>
          <w:i/>
          <w:iCs/>
        </w:rPr>
        <w:t>Behavioral economic theory with applications in program evaluation, agriculture, and education</w:t>
      </w:r>
    </w:p>
    <w:p w14:paraId="26AD07C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“Default Mental Model, Alternative(s) Activation, and Information Acquisition under Neural Capacity Constraints: Theory and Belief Measurements”</w:t>
      </w:r>
    </w:p>
    <w:p w14:paraId="570FA805" w14:textId="77777777" w:rsidR="00FA6E2B" w:rsidRDefault="00000000">
      <w:pPr>
        <w:spacing w:after="20"/>
      </w:pPr>
      <w:r>
        <w:rPr>
          <w:i/>
          <w:iCs/>
        </w:rPr>
        <w:t>Policy paper with a model explaining SBAE’s promise in an environment characterized by substantial heterogeneity in suitable agricultural technologies</w:t>
      </w:r>
    </w:p>
    <w:p w14:paraId="0EAD9C0A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“Catalyzing Technology Diffusion in Africa through School-Based Agricultural Extension”</w:t>
      </w:r>
      <w:r>
        <w:t xml:space="preserve"> (joint with Chris Udry)</w:t>
      </w:r>
    </w:p>
    <w:p w14:paraId="3547E567" w14:textId="77777777" w:rsidR="00FA6E2B" w:rsidRDefault="00000000">
      <w:pPr>
        <w:spacing w:after="20"/>
      </w:pPr>
      <w:r>
        <w:rPr>
          <w:i/>
          <w:iCs/>
        </w:rPr>
        <w:t>Scheduled RCTs on the scaling of SBAE in 2026-29</w:t>
      </w:r>
    </w:p>
    <w:p w14:paraId="22387BF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“Learning to Learn: Synergizing Inquiry-based Science and Agricultural Transformation”</w:t>
      </w:r>
      <w:r>
        <w:t xml:space="preserve"> (joint with Vesall Nourani, Harvard GSE)</w:t>
      </w:r>
    </w:p>
    <w:p w14:paraId="6BF924A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in School-based Agricultural Extension: Testing Mechanisms at Scale”</w:t>
      </w:r>
      <w:r>
        <w:t xml:space="preserve"> (piloted interventions in 2025-26)</w:t>
      </w:r>
    </w:p>
    <w:p w14:paraId="5000C82E" w14:textId="77777777" w:rsidR="00FA6E2B" w:rsidRDefault="00000000">
      <w:pPr>
        <w:spacing w:after="20"/>
      </w:pPr>
      <w:r>
        <w:rPr>
          <w:i/>
          <w:iCs/>
        </w:rPr>
        <w:t>Long-run scaling of SBAE across Liberia, Côte d’Ivoire, and Kenya in 2026-35</w:t>
      </w:r>
    </w:p>
    <w:p w14:paraId="490C638D" w14:textId="77777777" w:rsidR="00FA6E2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“Directed Technical Change under Data-Driven Farming Advice: An Empirical Framework”</w:t>
      </w:r>
    </w:p>
    <w:p w14:paraId="7B540610" w14:textId="77777777" w:rsidR="00FA6E2B" w:rsidRDefault="00000000">
      <w:pPr>
        <w:spacing w:after="60"/>
        <w:ind w:left="360"/>
      </w:pPr>
      <w:r>
        <w:rPr>
          <w:i/>
          <w:iCs/>
        </w:rPr>
        <w:t>(grant from Weiss Fund; piloted survey method; planning RCT)</w:t>
      </w:r>
    </w:p>
    <w:p w14:paraId="61799EF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and the Use of Unconditional Cash Transfers”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