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“Catalyzing Technology Diffusion in Africa through School-Based Agricultural Extension”</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against motivated beliefs by a microfounded capacity constraint: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framing of evidence matters because an alternative is activated only when the evidence makes the default indefensible against it, and threshold effects govern how attention shifts: gradually, abruptly, or not at all. Second, when several alternatives each beat the default, none may be activated, because evidence spread across rivals dilutes the weight each can carry.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