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study how SBAE’s design can be strengthened—including (i) how effectively agriculture and science education are integrated through inquiry-based learning,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with two principles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