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less familiar alternatives. This paper treats contextual shifts in “mindsets” as a choice of how much model uncertainty to entertain. Each mental model pairs a prior with a view of how observable features combine to reveal the state, so weighting models changes how a person interprets a situation. After an initial signal, an agent with a costless default and latent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By letting agents seek information and move beyond the interpretation supplied by associative memory, the model revises two hallmark effects of memory-based behavioral models. First, context effects: contextual cues that are payoff-irrelevant under the default sway decisions only when they activate an alternative under which they matter, and the curiosity this creates drives self-correction. Persistent context effects thus reflect the information environment. Second, interference effects: cues consistent with several alternatives divide the evidence among them, so none may be activated and the agent stays incurious.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