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2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140" w:after="10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20"/>
        <w:ind w:left="360"/>
      </w:pPr>
      <w:r>
        <w:t>Center for International Development, Harvard University</w:t>
      </w:r>
    </w:p>
    <w:p w14:paraId="05D80B99" w14:textId="77777777" w:rsidR="00FA6E2B" w:rsidRDefault="00000000">
      <w:pPr>
        <w:keepNext/>
        <w:pBdr>
          <w:bottom w:val="single" w:sz="6" w:space="2" w:color="000000"/>
        </w:pBdr>
        <w:spacing w:before="140" w:after="100"/>
      </w:pPr>
      <w:r>
        <w:rPr>
          <w:b/>
          <w:bCs/>
          <w:spacing w:val="20"/>
        </w:rPr>
        <w:t>RESEARCH FIELDS</w:t>
      </w:r>
    </w:p>
    <w:p w14:paraId="4C41B1E4" w14:textId="77777777" w:rsidR="00FA6E2B" w:rsidRDefault="00000000">
      <w:r>
        <w:rPr>
          <w:b/>
          <w:bCs/>
        </w:rPr>
        <w:t>Development Economics, Program Evaluation and Scaling</w:t>
      </w:r>
    </w:p>
    <w:p w14:paraId="0F525258" w14:textId="77777777" w:rsidR="00FA6E2B" w:rsidRDefault="00000000">
      <w:pPr>
        <w:spacing w:after="60"/>
        <w:ind w:left="360"/>
      </w:pPr>
      <w:r>
        <w:rPr>
          <w:i/>
          <w:iCs/>
        </w:rPr>
        <w:t>Focus—Synergies between Agriculture, Rural Education, and Digital Technologies</w:t>
      </w:r>
    </w:p>
    <w:p w14:paraId="64363DC3" w14:textId="77777777" w:rsidR="00FA6E2B" w:rsidRDefault="00000000">
      <w:r>
        <w:rPr>
          <w:b/>
          <w:bCs/>
        </w:rPr>
        <w:t>Family Economics, Organizational Economics</w:t>
      </w:r>
    </w:p>
    <w:p w14:paraId="0FEC5AA1" w14:textId="77777777" w:rsidR="00FA6E2B" w:rsidRDefault="00000000">
      <w:pPr>
        <w:spacing w:after="20"/>
        <w:ind w:left="360"/>
      </w:pPr>
      <w:r>
        <w:rPr>
          <w:i/>
          <w:iCs/>
        </w:rPr>
        <w:t>Focus—Intergenerational Dynamics in Rural Household and Community Decision Making</w:t>
      </w:r>
    </w:p>
    <w:p w14:paraId="642DBDA1" w14:textId="77777777" w:rsidR="00FA6E2B" w:rsidRDefault="00000000">
      <w:r>
        <w:rPr>
          <w:b/>
          <w:bCs/>
        </w:rPr>
        <w:t>Behavioral Economics with applications in program evaluation, agriculture, and education</w:t>
      </w:r>
    </w:p>
    <w:p w14:paraId="0F525259" w14:textId="77777777" w:rsidR="00FA6E2B" w:rsidRDefault="00000000">
      <w:pPr>
        <w:spacing w:after="60"/>
        <w:ind w:left="360"/>
      </w:pPr>
      <w:r>
        <w:rPr>
          <w:i/>
          <w:iCs/>
        </w:rPr>
        <w:t>Focus—Modeling Curiosity Through Contextual Shifts in Mindsets: Endogenous Model Uncertainty and Information Acquisition Under Cognitive Limits</w:t>
      </w:r>
    </w:p>
    <w:p w14:paraId="795D7E78" w14:textId="77777777" w:rsidR="00FA6E2B" w:rsidRDefault="00000000">
      <w:pPr>
        <w:keepNext/>
        <w:pBdr>
          <w:bottom w:val="single" w:sz="6" w:space="2" w:color="000000"/>
        </w:pBdr>
        <w:spacing w:before="140" w:after="100"/>
      </w:pPr>
      <w:r>
        <w:rPr>
          <w:b/>
          <w:bCs/>
          <w:spacing w:val="20"/>
        </w:rPr>
        <w:t>EDUCATION</w:t>
      </w:r>
    </w:p>
    <w:p w14:paraId="12C9B357" w14:textId="77777777" w:rsidR="00FA6E2B" w:rsidRDefault="00000000">
      <w:pPr>
        <w:tabs>
          <w:tab w:val="right" w:pos="9360"/>
        </w:tabs>
        <w:spacing w:after="20"/>
      </w:pPr>
      <w:r>
        <w:rPr>
          <w:b/>
          <w:bCs/>
        </w:rPr>
        <w:t>Ph.D., Economics</w:t>
      </w:r>
      <w:r>
        <w:t>, Northwestern University</w:t>
        <w:tab/>
        <w:t>2024</w:t>
      </w:r>
    </w:p>
    <w:p w14:paraId="5EF1B9E4" w14:textId="77777777" w:rsidR="00FA6E2B" w:rsidRDefault="00000000">
      <w:pPr>
        <w:tabs>
          <w:tab w:val="right" w:pos="9360"/>
        </w:tabs>
        <w:spacing w:after="20"/>
      </w:pPr>
      <w:r>
        <w:rPr>
          <w:b/>
          <w:bCs/>
        </w:rPr>
        <w:t>M.Phil., Economics</w:t>
      </w:r>
      <w:r>
        <w:t>, The Chinese University of Hong Kong</w:t>
        <w:tab/>
        <w:t>2017</w:t>
      </w:r>
    </w:p>
    <w:p w14:paraId="7A753CE3" w14:textId="77777777" w:rsidR="00FA6E2B" w:rsidRDefault="00000000">
      <w:pPr>
        <w:tabs>
          <w:tab w:val="right" w:pos="9360"/>
        </w:tabs>
        <w:spacing w:after="20"/>
      </w:pPr>
      <w:r>
        <w:rPr>
          <w:b/>
          <w:bCs/>
        </w:rPr>
        <w:t>B.SSc., Economics</w:t>
      </w:r>
      <w:r>
        <w:t>, The Chinese University of Hong Kong</w:t>
        <w:tab/>
        <w:t>2015</w:t>
      </w:r>
    </w:p>
    <w:p w14:paraId="7EADC13A" w14:textId="77777777" w:rsidR="00FA6E2B" w:rsidRDefault="00000000">
      <w:pPr>
        <w:keepNext/>
        <w:pBdr>
          <w:bottom w:val="single" w:sz="6" w:space="2" w:color="000000"/>
        </w:pBdr>
        <w:spacing w:before="140" w:after="100"/>
      </w:pPr>
      <w:r>
        <w:rPr>
          <w:b/>
          <w:bCs/>
          <w:spacing w:val="20"/>
        </w:rPr>
        <w:t>JOB MARKET PAPER</w:t>
      </w:r>
    </w:p>
    <w:p w14:paraId="6ADADC82" w14:textId="77777777" w:rsidR="00FA6E2B" w:rsidRDefault="00000000">
      <w:pPr>
        <w:spacing w:after="20"/>
      </w:pPr>
      <w:r>
        <w:rPr>
          <w:b/>
          <w:bCs/>
        </w:rPr>
        <w:t>“Miscategorization as an Information Friction? Activating School-Based Agricultural Extension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38" w:lineRule="auto"/>
        <w:ind w:left="360" w:right="360"/>
      </w:pPr>
      <w:r>
        <w:rPr>
          <w:sz w:val="22"/>
          <w:szCs w:val="22"/>
        </w:rPr>
        <w:t xml:space="preserve">Schools in developing countries often have weak ties with parents. This paper examines the extent to which programs with innovative elements—which parents may misperceive—hinge on strengthening these ties to succeed. In a three-year Liberian experiment across 197 schools, I evaluate school-based agricultural extension (SBAE) against control, cross-randomizing whether to inform parents about SBAE’s distinctive, inquiry-based learning features via promotional videos and field days. SBAE improves targeted outcomes only when paired with parental engagement: students’ households adopt 26–53% more agricultural techniques, dropouts fall 4–5 percentage points per year, absenteeism falls 28%, and studying hours rise 22%. The program is among the most cost-effective extension programs in randomized trials in sub-Saharan Africa, and over twice as cost-effective as a widely cited cash-transfer benchmark for the region (Baird et al. 2011). SBAE has strong positive training effects on students that are unaltered by parental engagement. However, without parental engagement, SBAE’s diffusion mechanisms via school demonstration farms, home projects, and intra-household communication stay muted—technology adoption effects vanish, absenteeism rises 31%, studying hours fall 20%, and parents disconnect—reducing school farm visits 12% and parent–teacher meetings 39%. Parents’ persistent avoidance of information about a new program, plus sharply reversed responses to SBAE under engagement, pose a puzzle. I discuss how standard Bayesian updating under a fixed prior, selective attention, and associative memory each fall short as standalone explanations. I propose an integrative explanation: parental engagement shifts parents’ categorization of SBAE away from schemas such as “school gardens as drudgery” or “parents are not involved.”</w:t>
      </w:r>
    </w:p>
    <w:p w14:paraId="7D95C4B3" w14:textId="77777777" w:rsidR="00FA6E2B" w:rsidRDefault="00000000">
      <w:pPr>
        <w:keepNext/>
        <w:pBdr>
          <w:bottom w:val="single" w:sz="6" w:space="2" w:color="000000"/>
        </w:pBdr>
        <w:spacing w:before="140" w:after="100"/>
      </w:pPr>
      <w:r>
        <w:rPr>
          <w:b/>
          <w:bCs/>
          <w:spacing w:val="20"/>
        </w:rPr>
        <w:t>WORKING PAPERS</w:t>
      </w:r>
    </w:p>
    <w:p w14:paraId="00000000" w14:textId="77777777" w:rsidR="00FA6E2B" w:rsidRDefault="00000000">
      <w:pPr>
        <w:pStyle w:val="ListParagraph"/>
        <w:numPr>
          <w:ilvl w:val="0"/>
          <w:numId w:val="2"/>
        </w:numPr>
        <w:spacing w:after="60"/>
      </w:pPr>
      <w:r>
        <w:rPr>
          <w:b/>
          <w:bCs/>
        </w:rPr>
        <w:t xml:space="preserve">“Technology Adoption and Schooling as Complements: The Promise of School-Based Agricultural Extension in Africa”</w:t>
      </w:r>
      <w:r>
        <w:t xml:space="preserve"> (joint with Chris Udry)</w:t>
      </w:r>
    </w:p>
    <w:p w14:paraId="00000000" w14:textId="77777777" w:rsidR="00FA6E2B" w:rsidRDefault="00000000">
      <w:pPr>
        <w:spacing w:after="80" w:line="216" w:lineRule="auto"/>
        <w:ind w:left="720" w:right="360"/>
        <w:jc w:val="both"/>
      </w:pPr>
      <w:r>
        <w:rPr>
          <w:sz w:val="20"/>
          <w:szCs w:val="20"/>
        </w:rPr>
        <w:t xml:space="preserve">In sub-Saharan Africa, wide heterogeneity across farms makes other households’ experience a noisy guide to what suits a household’s own farms, slowing technology diffusion, while low perceived returns to schooling drive students to drop out. We develop a model of why school-based agricultural extension (SBAE), which combines inquiry-based science learning, school demonstration plots, student home projects, and leadership training, addresses this dual problem. Our model builds on the target-input framework, in which a household learns a technology’s suitability only by using it in production or by observing others who do. We add a third channel: the more of a child’s time the household devotes to schooling, the more precisely it learns from the school’s production signals. Schooling and technology adoption become complements. First, schooling carries an option value on the farm: by raising the probability of future adoption, it makes attendance worthwhile even where labor-market returns are low. Second, SBAE effectively subsidizes information acquisition by delivering information through schooling, whose cost households already bear for its educational returns, countering the under-supply of information in the presence of learning spillovers. We provide experimental evidence from Liberia that SBAE cost-effectively raises both agricultural technology adoption and school attendance, and use extensions of the model to study how SBAE’s design can be strengthened, including (i) how effectively inquiry-based learning raises the marginal informational return to schooling, and (ii) how effectively SBAE’s home visits aggregate households’ dispersed knowledge and feed it back to them.</w:t>
      </w:r>
    </w:p>
    <w:p w14:paraId="00000000" w14:textId="77777777" w:rsidR="00FA6E2B" w:rsidRDefault="00000000">
      <w:pPr>
        <w:pStyle w:val="ListParagraph"/>
        <w:numPr>
          <w:ilvl w:val="0"/>
          <w:numId w:val="2"/>
        </w:numPr>
        <w:spacing w:after="60"/>
      </w:pPr>
      <w:r>
        <w:rPr>
          <w:b/>
          <w:bCs/>
        </w:rPr>
        <w:t xml:space="preserve">“Endogenous Model Uncertainty and Curiosity under Cognitive Limits”</w:t>
      </w:r>
    </w:p>
    <w:p w14:paraId="00000000" w14:textId="77777777" w:rsidR="00FA6E2B" w:rsidRDefault="00000000">
      <w:pPr>
        <w:spacing w:after="80" w:line="216" w:lineRule="auto"/>
        <w:ind w:left="720" w:right="360"/>
        <w:jc w:val="both"/>
      </w:pPr>
      <w:r>
        <w:rPr>
          <w:sz w:val="20"/>
          <w:szCs w:val="20"/>
        </w:rPr>
        <w:t xml:space="preserve">People actively assign meaning to what they see and predict from it, and whether they look for more information depends on the mental model they use. People have the capacity to self-correct, but it can be hindered when the space of model exploration strains cognitive limits. Model-switching theories and associative-memory models of categorization capture this partially: they allow one model at a time and abstract from information acquisition. I model shifts in “mindsets” as a choice of how much model uncertainty to entertain: given a default mental model and a menu of latent alternatives, a decision maker jointly chooses how much attention to give each and how much information to acquire. A microfounded evidence constraint bounds motivated beliefs: the weight an alternative can carry is capped by its Bayesian posterior probability. Curiosity then arises endogenously as a drive to resolve model uncertainty from evidence for a higher-payoff alternative. The model reproduces neural remapping regularities and unifies belief-updating distortions with information-acquisition anomalies. It offers new mechanisms for two effects central to associative memory. First, context effects: cues matter through the explanations they support, not just superficial similarity, so interventions can reframe interpretations rather than draw attention. Second, interference effects: alternatives block one another through fragmentation of evidence, not just memory retrieval, so interventions can distinguish explanations rather than strengthen target cues. I illustrate these principles where active information-seeking is crucial: engaging parents in Liberia’s school-based agricultural extension and promoting new teaching, study, and farming practices among teachers, students, and farmers.</w:t>
      </w:r>
    </w:p>
    <w:p w14:paraId="00000000" w14:textId="77777777" w:rsidR="00FA6E2B" w:rsidRDefault="00000000">
      <w:pPr>
        <w:pStyle w:val="ListParagraph"/>
        <w:numPr>
          <w:ilvl w:val="0"/>
          <w:numId w:val="2"/>
        </w:numPr>
        <w:spacing w:after="60"/>
      </w:pPr>
      <w:r>
        <w:rPr>
          <w:b/>
          <w:bCs/>
        </w:rPr>
        <w:t xml:space="preserve">“Can Communicating Parents’ Beliefs to Students Be a Pivotal Component of Parental Engagement? Evidence from School-Based Agricultural Extension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80" w:line="216" w:lineRule="auto"/>
        <w:ind w:left="720" w:right="360"/>
        <w:jc w:val="both"/>
      </w:pPr>
      <w:r>
        <w:rPr>
          <w:sz w:val="20"/>
          <w:szCs w:val="20"/>
        </w:rPr>
        <w:t xml:space="preserve">When school programs require students to introduce improved techniques on household farms, is informing students and parents about the program sufficient, or is there a case for further signaling parents’ support to students? I study this question within a randomized evaluation of school-based agricultural extension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can be pivotal in shifting students away from assisting in subsistence farming.</w:t>
      </w:r>
    </w:p>
    <w:p w14:paraId="219A419F" w14:textId="77777777" w:rsidR="00FA6E2B" w:rsidRDefault="00000000">
      <w:pPr>
        <w:keepNext/>
        <w:pBdr>
          <w:bottom w:val="single" w:sz="6" w:space="2" w:color="000000"/>
        </w:pBdr>
        <w:spacing w:before="140" w:after="100"/>
      </w:pPr>
      <w:r>
        <w:rPr>
          <w:b/>
          <w:bCs/>
          <w:spacing w:val="20"/>
        </w:rPr>
        <w:t>WORK IN PROGRESS</w:t>
      </w:r>
    </w:p>
    <w:p w14:paraId="00000000" w14:textId="77777777" w:rsidR="00FA6E2B" w:rsidRDefault="00000000">
      <w:pPr>
        <w:spacing w:after="2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6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60"/>
      </w:pPr>
      <w:r>
        <w:rPr>
          <w:b/>
          <w:bCs/>
        </w:rPr>
        <w:t xml:space="preserve">“Parental Engagement in School-based Agricultural Extension: Testing Mechanisms at Scale”</w:t>
      </w:r>
      <w:r>
        <w:t xml:space="preserve"> (piloted interventions in 2025-26)</w:t>
      </w:r>
    </w:p>
    <w:p w14:paraId="00000000" w14:textId="77777777" w:rsidR="00FA6E2B" w:rsidRDefault="00000000">
      <w:pPr>
        <w:pStyle w:val="ListParagraph"/>
        <w:numPr>
          <w:ilvl w:val="0"/>
          <w:numId w:val="3"/>
        </w:numPr>
        <w:spacing w:after="60"/>
      </w:pPr>
      <w:r>
        <w:rPr>
          <w:b/>
          <w:bCs/>
        </w:rPr>
        <w:t xml:space="preserve">“Parental Engagement and the Use of Unconditional Cash Transfers”</w:t>
      </w:r>
    </w:p>
    <w:p w14:paraId="00000000" w14:textId="77777777" w:rsidR="00FA6E2B" w:rsidRDefault="00000000">
      <w:pPr>
        <w:pStyle w:val="ListParagraph"/>
        <w:numPr>
          <w:ilvl w:val="0"/>
          <w:numId w:val="3"/>
        </w:numPr>
        <w:spacing w:after="6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140" w:after="10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20"/>
        <w:ind w:left="360"/>
      </w:pPr>
      <w:r>
        <w:t>AFD Fund for Innovation in Development ($1.2 mil; co-PI)</w:t>
        <w:tab/>
        <w:t>2025</w:t>
      </w:r>
    </w:p>
    <w:p w14:paraId="7C855BEC" w14:textId="77777777" w:rsidR="00FA6E2B" w:rsidRDefault="00000000">
      <w:pPr>
        <w:tabs>
          <w:tab w:val="right" w:pos="9360"/>
        </w:tabs>
        <w:spacing w:after="20"/>
        <w:ind w:left="360"/>
      </w:pPr>
      <w:r>
        <w:t>J-PAL Learning for All Initiative: Scaling Award ($222K; co-PI)</w:t>
        <w:tab/>
        <w:t>2024</w:t>
      </w:r>
    </w:p>
    <w:p w14:paraId="23245D21" w14:textId="77777777" w:rsidR="00FA6E2B" w:rsidRDefault="00000000">
      <w:pPr>
        <w:tabs>
          <w:tab w:val="right" w:pos="9360"/>
        </w:tabs>
        <w:spacing w:after="20"/>
        <w:ind w:left="360"/>
      </w:pPr>
      <w:r>
        <w:t>USAID Development Innovation Ventures ($395K; co-PI)</w:t>
        <w:tab/>
        <w:t>2022</w:t>
      </w:r>
    </w:p>
    <w:p w14:paraId="45158026" w14:textId="77777777" w:rsidR="00FA6E2B" w:rsidRDefault="00000000">
      <w:pPr>
        <w:tabs>
          <w:tab w:val="right" w:pos="9360"/>
        </w:tabs>
        <w:spacing w:after="20"/>
        <w:ind w:left="360"/>
      </w:pPr>
      <w:r>
        <w:t>Wellspring Foundation ($192K; co-PI)</w:t>
        <w:tab/>
        <w:t>2022</w:t>
      </w:r>
    </w:p>
    <w:p w14:paraId="64E1FE61" w14:textId="77777777" w:rsidR="00FA6E2B" w:rsidRDefault="00000000">
      <w:pPr>
        <w:tabs>
          <w:tab w:val="right" w:pos="9360"/>
        </w:tabs>
        <w:spacing w:after="20"/>
        <w:ind w:left="360"/>
      </w:pPr>
      <w:r>
        <w:t>AFD Fund for Innovation in Development ($1.2 mil; co-PI)</w:t>
        <w:tab/>
        <w:t>2021</w:t>
      </w:r>
    </w:p>
    <w:p w14:paraId="4CE8C181" w14:textId="77777777" w:rsidR="00FA6E2B" w:rsidRDefault="00000000">
      <w:pPr>
        <w:tabs>
          <w:tab w:val="right" w:pos="9360"/>
        </w:tabs>
        <w:spacing w:after="2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20"/>
        <w:ind w:left="360"/>
      </w:pPr>
      <w:r>
        <w:t>J-PAL Learning for All Initiative ($400K; co-PI)</w:t>
        <w:tab/>
        <w:t>2025</w:t>
      </w:r>
    </w:p>
    <w:p w14:paraId="197A4B18" w14:textId="77777777" w:rsidR="00FA6E2B" w:rsidRDefault="00000000">
      <w:pPr>
        <w:tabs>
          <w:tab w:val="right" w:pos="9360"/>
        </w:tabs>
        <w:spacing w:after="20"/>
        <w:ind w:left="360"/>
      </w:pPr>
      <w:r>
        <w:t>Weiss Fund ($5K; Lead PI)</w:t>
        <w:tab/>
        <w:t>2022</w:t>
      </w:r>
    </w:p>
    <w:p w14:paraId="039FA679" w14:textId="77777777" w:rsidR="00FA6E2B" w:rsidRDefault="00000000">
      <w:pPr>
        <w:tabs>
          <w:tab w:val="right" w:pos="9360"/>
        </w:tabs>
        <w:spacing w:after="20"/>
        <w:ind w:left="360"/>
      </w:pPr>
      <w:r>
        <w:t>National Science Foundation ($451K; co-PI)</w:t>
        <w:tab/>
        <w:t>2020</w:t>
      </w:r>
    </w:p>
    <w:p w14:paraId="1EC21FC3" w14:textId="77777777" w:rsidR="00FA6E2B" w:rsidRDefault="00000000">
      <w:pPr>
        <w:tabs>
          <w:tab w:val="right" w:pos="9360"/>
        </w:tabs>
        <w:spacing w:after="20"/>
        <w:ind w:left="360"/>
      </w:pPr>
      <w:r>
        <w:t>Weiss Fund ($29K; Lead PI)</w:t>
        <w:tab/>
        <w:t>2020</w:t>
      </w:r>
    </w:p>
    <w:p w14:paraId="18495156" w14:textId="77777777" w:rsidR="00FA6E2B" w:rsidRDefault="00000000">
      <w:pPr>
        <w:tabs>
          <w:tab w:val="right" w:pos="9360"/>
        </w:tabs>
        <w:spacing w:after="20"/>
        <w:ind w:left="360"/>
      </w:pPr>
      <w:r>
        <w:t>Global Poverty Research Lab ($19K; Lead PI)</w:t>
        <w:tab/>
        <w:t>2019</w:t>
      </w:r>
    </w:p>
    <w:p w14:paraId="4FC20D62" w14:textId="77777777" w:rsidR="00FA6E2B" w:rsidRDefault="00000000">
      <w:pPr>
        <w:tabs>
          <w:tab w:val="right" w:pos="9360"/>
        </w:tabs>
        <w:spacing w:after="20"/>
        <w:ind w:left="360"/>
      </w:pPr>
      <w:r>
        <w:t>Buffett Institute for Global Affairs ($5K; Lead PI)</w:t>
        <w:tab/>
        <w:t>2019</w:t>
      </w:r>
    </w:p>
    <w:p w14:paraId="11D3DC52" w14:textId="77777777" w:rsidR="00FA6E2B" w:rsidRDefault="00000000">
      <w:pPr>
        <w:keepNext/>
        <w:pBdr>
          <w:bottom w:val="single" w:sz="6" w:space="2" w:color="000000"/>
        </w:pBdr>
        <w:spacing w:before="140" w:after="100"/>
      </w:pPr>
      <w:r>
        <w:rPr>
          <w:b/>
          <w:bCs/>
          <w:spacing w:val="20"/>
        </w:rPr>
        <w:t>INVITED PRESENTATIONS</w:t>
      </w:r>
    </w:p>
    <w:p w14:paraId="07B7FBED" w14:textId="77777777" w:rsidR="00FA6E2B" w:rsidRDefault="00000000">
      <w:pPr>
        <w:spacing w:after="20"/>
      </w:pPr>
      <w:r>
        <w:rPr>
          <w:i/>
          <w:iCs/>
        </w:rPr>
        <w:t>During postdoctoral studies:</w:t>
      </w:r>
    </w:p>
    <w:p w14:paraId="3848672C" w14:textId="77777777" w:rsidR="00FA6E2B" w:rsidRDefault="00000000">
      <w:pPr>
        <w:spacing w:after="80"/>
        <w:ind w:left="360"/>
      </w:pPr>
      <w:r>
        <w:t>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20"/>
      </w:pPr>
      <w:r>
        <w:rPr>
          <w:i/>
          <w:iCs/>
        </w:rPr>
        <w:t>During PhD:</w:t>
      </w:r>
    </w:p>
    <w:p w14:paraId="5347EC6B" w14:textId="77777777" w:rsidR="00FA6E2B" w:rsidRDefault="00000000">
      <w:pPr>
        <w:spacing w:after="2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62884AD5" w14:textId="77777777" w:rsidR="00FA6E2B" w:rsidRDefault="00000000">
      <w:pPr>
        <w:keepNext/>
        <w:pBdr>
          <w:bottom w:val="single" w:sz="6" w:space="2" w:color="000000"/>
        </w:pBdr>
        <w:spacing w:before="140" w:after="100"/>
      </w:pPr>
      <w:r>
        <w:rPr>
          <w:b/>
          <w:bCs/>
          <w:spacing w:val="20"/>
        </w:rPr>
        <w:t>TEACHING</w:t>
      </w:r>
    </w:p>
    <w:p w14:paraId="21ABAC3E" w14:textId="77777777" w:rsidR="00FA6E2B" w:rsidRDefault="00000000">
      <w:pPr>
        <w:spacing w:after="20"/>
      </w:pPr>
      <w:r>
        <w:rPr>
          <w:b/>
          <w:bCs/>
        </w:rPr>
        <w:t>Teaching Assistant</w:t>
      </w:r>
      <w:r>
        <w:t>, Northwestern University (Department median 5.3/6)</w:t>
      </w:r>
    </w:p>
    <w:p w14:paraId="51FB785A" w14:textId="77777777" w:rsidR="00FA6E2B" w:rsidRDefault="00000000">
      <w:pPr>
        <w:spacing w:after="20"/>
        <w:ind w:left="360"/>
      </w:pPr>
      <w:r>
        <w:t>Introduction to Microeconomics (5.2, 5.4, 5.6), Introduction to Macroeconomics (5.4, 5.4), Intermediate Microeconomics (5.4), Intermediate Macroeconomics (5.7), International Trade (5.6), Economics of Nonprofit Organizations (5.8)</w:t>
      </w:r>
    </w:p>
    <w:p w:rsidR="00FA6E2B" w:rsidRDefault="00000000">
      <w:pPr>
        <w:spacing w:after="20"/>
      </w:pPr>
      <w:r>
        <w:rPr>
          <w:b/>
          <w:bCs/>
        </w:rPr>
        <w:t>Teaching Assistant</w:t>
      </w:r>
      <w:r>
        <w:t>, The Chinese University of Hong Kong</w:t>
      </w:r>
    </w:p>
    <w:p w:rsidR="00FA6E2B" w:rsidRDefault="00000000">
      <w:pPr>
        <w:spacing w:after="20"/>
        <w:ind w:left="360"/>
      </w:pPr>
      <w:r>
        <w:t>Mathematical Methods in Economics I, II, Family Economics, International Macroeconomics</w:t>
      </w:r>
    </w:p>
    <w:p w14:paraId="3744E685" w14:textId="77777777" w:rsidR="00FA6E2B" w:rsidRDefault="00000000">
      <w:pPr>
        <w:keepNext/>
        <w:pBdr>
          <w:bottom w:val="single" w:sz="6" w:space="2" w:color="000000"/>
        </w:pBdr>
        <w:spacing w:before="140" w:after="100"/>
      </w:pPr>
      <w:r>
        <w:rPr>
          <w:b/>
          <w:bCs/>
          <w:spacing w:val="20"/>
        </w:rPr>
        <w:t>LANGUAGES AND SKILLS</w:t>
      </w:r>
    </w:p>
    <w:p w14:paraId="694C3D47" w14:textId="77777777" w:rsidR="00FA6E2B" w:rsidRDefault="00000000">
      <w:pPr>
        <w:spacing w:after="20"/>
      </w:pPr>
      <w:r>
        <w:rPr>
          <w:b/>
          <w:bCs/>
        </w:rPr>
        <w:t xml:space="preserve">Citizenship: </w:t>
      </w:r>
      <w:r>
        <w:t>Hong Kong Special Administrative Region, China</w:t>
      </w:r>
    </w:p>
    <w:p w14:paraId="2CD7B924" w14:textId="77777777" w:rsidR="00FA6E2B" w:rsidRDefault="00000000">
      <w:pPr>
        <w:spacing w:after="20"/>
      </w:pPr>
      <w:r>
        <w:rPr>
          <w:b/>
          <w:bCs/>
        </w:rPr>
        <w:t xml:space="preserve">Languages: </w:t>
      </w:r>
      <w:r>
        <w:t>English (fluent), French (intermediate), Mandarin (fluent), Cantonese (native)</w:t>
      </w:r>
    </w:p>
    <w:p w14:paraId="6AE66694" w14:textId="77777777" w:rsidR="00FA6E2B" w:rsidRDefault="00000000">
      <w:pPr>
        <w:spacing w:after="2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140" w:after="100"/>
      </w:pPr>
      <w:r>
        <w:rPr>
          <w:b/>
          <w:bCs/>
          <w:spacing w:val="20"/>
        </w:rPr>
        <w:t>REFERENCES</w:t>
      </w:r>
    </w:p>
    <w:p w14:paraId="4EB96ED9" w14:textId="77777777" w:rsidR="00FA6E2B" w:rsidRDefault="00000000">
      <w:pPr>
        <w:keepNext/>
        <w:keepLines/>
        <w:tabs>
          <w:tab w:val="left" w:pos="4680"/>
        </w:tabs>
      </w:pPr>
      <w:r>
        <w:rPr>
          <w:b/>
          <w:bCs/>
        </w:rPr>
        <w:t>Professor Christopher Udry (Chair)</w:t>
      </w:r>
      <w:r>
        <w:tab/>
      </w:r>
      <w:r>
        <w:rPr>
          <w:b/>
          <w:bCs/>
        </w:rPr>
        <w:t>Professor Dean Karlan</w:t>
      </w:r>
    </w:p>
    <w:p w14:paraId="3ADE5319" w14:textId="77777777" w:rsidR="00FA6E2B" w:rsidRDefault="00000000">
      <w:pPr>
        <w:keepNext/>
        <w:keepLines/>
        <w:tabs>
          <w:tab w:val="left" w:pos="4680"/>
        </w:tabs>
      </w:pPr>
      <w:r>
        <w:t>Department of Economics</w:t>
        <w:tab/>
        <w:t>Department of Economics</w:t>
      </w:r>
    </w:p>
    <w:p w14:paraId="7E26BEDE" w14:textId="77777777" w:rsidR="00FA6E2B" w:rsidRDefault="00000000">
      <w:pPr>
        <w:keepNext/>
        <w:keepLines/>
        <w:tabs>
          <w:tab w:val="left" w:pos="4680"/>
        </w:tabs>
      </w:pPr>
      <w:r>
        <w:t>Northwestern University</w:t>
        <w:tab/>
        <w:t>Northwestern University</w:t>
      </w:r>
    </w:p>
    <w:p w14:paraId="2F755438" w14:textId="77777777" w:rsidR="00FA6E2B" w:rsidRDefault="00000000">
      <w:pPr>
        <w:keepNext/>
        <w:keepLines/>
        <w:tabs>
          <w:tab w:val="left" w:pos="4680"/>
        </w:tabs>
      </w:pPr>
      <w:r>
        <w:t>2211 Campus Drive, Evanston, IL 60208</w:t>
        <w:tab/>
        <w:t>2211 Campus Drive, Evanston, IL 60208</w:t>
      </w:r>
    </w:p>
    <w:p w14:paraId="2436F85F" w14:textId="77777777" w:rsidR="00FA6E2B" w:rsidRDefault="00000000">
      <w:pPr>
        <w:keepNext/>
        <w:keepLines/>
        <w:tabs>
          <w:tab w:val="left" w:pos="4680"/>
        </w:tabs>
      </w:pPr>
      <w:r>
        <w:t>(+1) 847-491-8216</w:t>
        <w:tab/>
        <w:t>(+1) 847-491-8706</w:t>
      </w:r>
    </w:p>
    <w:p w14:paraId="6BE32B34" w14:textId="77777777" w:rsidR="00FA6E2B" w:rsidRDefault="00000000">
      <w:pPr>
        <w:keepLines/>
        <w:tabs>
          <w:tab w:val="left" w:pos="4680"/>
        </w:tabs>
        <w:spacing w:after="120"/>
      </w:pPr>
      <w:hyperlink r:id="rId7" w:history="1">
        <w:r>
          <w:rPr>
            <w:rStyle w:val="Hyperlink"/>
          </w:rPr>
          <w:t>christopher.udry@northwestern.edu</w:t>
        </w:r>
      </w:hyperlink>
      <w:r>
        <w:tab/>
      </w:r>
      <w:hyperlink r:id="rId8" w:history="1">
        <w:r>
          <w:rPr>
            <w:rStyle w:val="Hyperlink"/>
          </w:rPr>
          <w:t>karlan@u.northwestern.edu</w:t>
        </w:r>
      </w:hyperlink>
    </w:p>
    <w:p w14:paraId="04FD49CE" w14:textId="77777777" w:rsidR="00FA6E2B" w:rsidRDefault="00000000">
      <w:pPr>
        <w:keepNext/>
        <w:keepLines/>
        <w:tabs>
          <w:tab w:val="left" w:pos="4680"/>
        </w:tabs>
      </w:pPr>
      <w:r>
        <w:rPr>
          <w:b/>
          <w:bCs/>
        </w:rPr>
        <w:t>Professor Lori Beaman</w:t>
      </w:r>
    </w:p>
    <w:p w14:paraId="04050422" w14:textId="77777777" w:rsidR="00FA6E2B" w:rsidRDefault="00000000">
      <w:pPr>
        <w:keepNext/>
        <w:keepLines/>
        <w:tabs>
          <w:tab w:val="left" w:pos="4680"/>
        </w:tabs>
      </w:pPr>
      <w:r>
        <w:t>Department of Economics</w:t>
      </w:r>
    </w:p>
    <w:p w14:paraId="4F7C4AD7" w14:textId="77777777" w:rsidR="00FA6E2B" w:rsidRDefault="00000000">
      <w:pPr>
        <w:keepNext/>
        <w:keepLines/>
        <w:tabs>
          <w:tab w:val="left" w:pos="4680"/>
        </w:tabs>
      </w:pPr>
      <w:r>
        <w:t>Northwestern University</w:t>
      </w:r>
    </w:p>
    <w:p w14:paraId="6E5006AD" w14:textId="77777777" w:rsidR="00FA6E2B" w:rsidRDefault="00000000">
      <w:pPr>
        <w:keepNext/>
        <w:keepLines/>
        <w:tabs>
          <w:tab w:val="left" w:pos="4680"/>
        </w:tabs>
      </w:pPr>
      <w:r>
        <w:t>2211 Campus Drive, Evanston, IL 60208</w:t>
      </w:r>
    </w:p>
    <w:p w14:paraId="6606288C" w14:textId="77777777" w:rsidR="00FA6E2B" w:rsidRDefault="00000000">
      <w:pPr>
        <w:keepNext/>
        <w:keepLines/>
        <w:tabs>
          <w:tab w:val="left" w:pos="4680"/>
        </w:tabs>
      </w:pPr>
      <w:r>
        <w:t>(+1) 847-491-5394</w:t>
      </w:r>
    </w:p>
    <w:p w14:paraId="154E6205" w14:textId="77777777" w:rsidR="00FA6E2B" w:rsidRDefault="00000000">
      <w:pPr>
        <w:keepLines/>
        <w:tabs>
          <w:tab w:val="left" w:pos="4680"/>
        </w:tabs>
        <w:spacing w:after="120"/>
      </w:pPr>
      <w:hyperlink r:id="rId9" w:history="1">
        <w:r>
          <w:rPr>
            <w:rStyle w:val="Hyperlink"/>
          </w:rPr>
          <w:t>l-beaman@northwestern.edu</w:t>
        </w:r>
      </w:hyperlink>
    </w:p>
    <w:sectPr w:rsidR="00FA6E2B">
      <w:pgSz w:w="12240" w:h="15840"/>
      <w:pgMar w:top="720" w:right="1440" w:bottom="72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