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signal triggers. Because agents can seek information beyond what associative memory supplies, the model shows that how far irrelevant context distorts judgment and choice depends on the information environment, thereby revising two hallmark effects in memory-based models (e.g., Bordalo et al. 2026). First, cues that are payoff-irrelevant under the default sway decisions only when they activate an alternative under which they matter, and the resulting curiosity drives self-correction when evidence is unbiased. Second, cues consistent with several alternatives divide the evidence among them, so none may be activated, even when each outperforms the default.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