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48"/>
          <w:szCs w:val="48"/>
        </w:rPr>
        <w:t xml:space="preserve">POLICY AND PROCEDURE MANUAL</w:t>
      </w:r>
    </w:p>
    <w:p>
      <w:pPr>
        <w:spacing w:before="200"/>
        <w:jc w:val="center"/>
      </w:pPr>
      <w:r>
        <w:rPr>
          <w:color w:val="44546A"/>
          <w:sz w:val="32"/>
          <w:szCs w:val="32"/>
        </w:rPr>
        <w:t xml:space="preserve">Upstar Mental Health Services</w:t>
      </w:r>
    </w:p>
    <w:p>
      <w:pPr>
        <w:spacing w:before="400"/>
        <w:jc w:val="center"/>
      </w:pPr>
      <w:r>
        <w:rPr>
          <w:i/>
          <w:iCs/>
          <w:color w:val="666666"/>
          <w:sz w:val="24"/>
          <w:szCs w:val="24"/>
        </w:rPr>
        <w:t xml:space="preserve">Aligned to the CARF 2026 Behavioral Health Standards Manual</w:t>
      </w:r>
    </w:p>
    <w:p>
      <w:pPr>
        <w:spacing w:before="800"/>
        <w:jc w:val="center"/>
      </w:pPr>
      <w:r>
        <w:rPr>
          <w:b/>
          <w:bCs/>
          <w:color w:val="C00000"/>
          <w:sz w:val="24"/>
          <w:szCs w:val="24"/>
        </w:rPr>
        <w:t xml:space="preserve">DRAFT — Document in Progress</w:t>
      </w:r>
    </w:p>
    <w:p>
      <w:pPr>
        <w:spacing w:before="200"/>
        <w:jc w:val="center"/>
      </w:pPr>
      <w:r>
        <w:rPr>
          <w:color w:val="666666"/>
          <w:sz w:val="20"/>
          <w:szCs w:val="20"/>
        </w:rPr>
        <w:t xml:space="preserve">This document is being built section by section. Each policy below has been reviewed and confirmed; sections of the manual not yet addressed are listed in the tracker at the end.</w:t>
      </w:r>
    </w:p>
    <w:p>
      <w:pPr>
        <w:pageBreakBefore/>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pPr>
      <w:r>
        <w:t xml:space="preserve">Section 1: ASPIRE to Excellence — Organizational Leadership &amp; Business Practices</w:t>
      </w:r>
    </w:p>
    <w:p>
      <w:pPr>
        <w:spacing w:after="200"/>
      </w:pPr>
      <w:r>
        <w:rPr>
          <w:i/>
          <w:iCs/>
          <w:color w:val="555555"/>
        </w:rPr>
        <w:t xml:space="preserve">This section establishes policies that apply organization-wide, regardless of program or service type, in conformance with Section 1 (ASPIRE to Excellence) of the CARF 2026 Behavioral Health Standards Manual.</w:t>
      </w:r>
    </w:p>
    <w:p>
      <w:pPr>
        <w:pStyle w:val="Heading2"/>
      </w:pPr>
      <w:r>
        <w:t xml:space="preserve">Policy 1.A — Leadership Structure and Accountability</w:t>
      </w:r>
    </w:p>
    <w:p>
      <w:pPr>
        <w:pStyle w:val="Heading3"/>
      </w:pPr>
      <w:r>
        <w:t xml:space="preserve">Policy Statement</w:t>
      </w:r>
    </w:p>
    <w:p>
      <w:pPr>
        <w:spacing w:after="160"/>
      </w:pPr>
      <w:r>
        <w:t xml:space="preserve">The organization maintains a clearly defined leadership structure with documented roles, responsibilities, and lines of authority. Leadership is responsible for guiding the organization's mission, strategic direction, financial solvency, risk management, regulatory compliance, health and safety, succession planning, and ongoing performance improvement. Leadership maintains a person-centered philosophy that governs service delivery and is communicated to all stakeholders, and remains accessible to persons served, personnel, and other stakeholders.</w:t>
      </w:r>
    </w:p>
    <w:p>
      <w:pPr>
        <w:spacing w:after="160"/>
      </w:pPr>
      <w:r>
        <w:rPr>
          <w:b/>
          <w:bCs/>
        </w:rPr>
        <w:t xml:space="preserve">CARF Reference: </w:t>
      </w:r>
      <w:r>
        <w:t xml:space="preserve">Standards 1.A.1–1.A.4 and 1.A.6 (2026 Behavioral Health Standards Manual, Section 1.A, Leadership)</w:t>
      </w:r>
    </w:p>
    <w:p>
      <w:pPr>
        <w:pStyle w:val="Heading3"/>
      </w:pPr>
      <w:r>
        <w:t xml:space="preserve">Procedure</w:t>
      </w:r>
    </w:p>
    <w:p>
      <w:pPr>
        <w:pStyle w:val="Heading3"/>
        <w:rPr>
          <w:sz w:val="22"/>
          <w:szCs w:val="22"/>
        </w:rPr>
      </w:pPr>
      <w:r>
        <w:rPr>
          <w:i/>
          <w:iCs/>
        </w:rPr>
        <w:t xml:space="preserve">1. Leadership Structure</w:t>
      </w:r>
    </w:p>
    <w:p>
      <w:pPr>
        <w:pStyle w:val="ListParagraph"/>
        <w:numPr>
          <w:ilvl w:val="0"/>
          <w:numId w:val="2"/>
        </w:numPr>
      </w:pPr>
      <w:r>
        <w:t xml:space="preserve">The organization's leadership structure is documented in a written organizational chart, maintained by the Executive Director/CEO.</w:t>
      </w:r>
    </w:p>
    <w:p>
      <w:pPr>
        <w:pStyle w:val="ListParagraph"/>
        <w:numPr>
          <w:ilvl w:val="0"/>
          <w:numId w:val="2"/>
        </w:numPr>
      </w:pPr>
      <w:r>
        <w:t xml:space="preserve">The organizational chart identifies each leadership position, its title, and its lines of reporting authority.</w:t>
      </w:r>
    </w:p>
    <w:p>
      <w:pPr>
        <w:pStyle w:val="ListParagraph"/>
        <w:numPr>
          <w:ilvl w:val="0"/>
          <w:numId w:val="2"/>
        </w:numPr>
      </w:pPr>
      <w:r>
        <w:t xml:space="preserve">The Executive Director/CEO is responsible for maintaining and updating the organizational chart whenever a leadership role, title, or reporting line changes, and for ensuring the current version is accessible to personnel.</w:t>
      </w:r>
    </w:p>
    <w:p>
      <w:pPr>
        <w:pStyle w:val="ListParagraph"/>
        <w:numPr>
          <w:ilvl w:val="0"/>
          <w:numId w:val="2"/>
        </w:numPr>
      </w:pPr>
      <w:r>
        <w:t xml:space="preserve">Each leadership position has a written description of its responsibilities, maintained in the position's job description on file with [Human Resources / the Executive Director].</w:t>
      </w:r>
    </w:p>
    <w:p>
      <w:pPr>
        <w:pStyle w:val="Heading3"/>
        <w:rPr>
          <w:sz w:val="22"/>
          <w:szCs w:val="22"/>
        </w:rPr>
      </w:pPr>
      <w:r>
        <w:rPr>
          <w:i/>
          <w:iCs/>
        </w:rPr>
        <w:t xml:space="preserve">2. Person-Centered Philosophy</w:t>
      </w:r>
    </w:p>
    <w:p>
      <w:pPr>
        <w:pStyle w:val="ListParagraph"/>
        <w:numPr>
          <w:ilvl w:val="0"/>
          <w:numId w:val="2"/>
        </w:numPr>
      </w:pPr>
      <w:r>
        <w:t xml:space="preserve">Leadership defines and documents the organization's person-centered philosophy in writing, addressing individuality, autonomy, respect for diversity, cultural competence, empowerment, partnership with persons served and families, participation in life roles, and quality of life.</w:t>
      </w:r>
    </w:p>
    <w:p>
      <w:pPr>
        <w:pStyle w:val="ListParagraph"/>
        <w:numPr>
          <w:ilvl w:val="0"/>
          <w:numId w:val="2"/>
        </w:numPr>
      </w:pPr>
      <w:r>
        <w:t xml:space="preserve">The person-centered philosophy is communicated to stakeholders through [specify: e.g., new-employee orientation materials, the persons-served handbook, the organization's website, posted signage]. [Placeholder — confirm actual communication channels.]</w:t>
      </w:r>
    </w:p>
    <w:p>
      <w:pPr>
        <w:pStyle w:val="ListParagraph"/>
        <w:numPr>
          <w:ilvl w:val="0"/>
          <w:numId w:val="2"/>
        </w:numPr>
      </w:pPr>
      <w:r>
        <w:t xml:space="preserve">All personnel receive training on the person-centered philosophy during new-employee orientation and review it annually thereafter.</w:t>
      </w:r>
    </w:p>
    <w:p>
      <w:pPr>
        <w:pStyle w:val="Heading3"/>
        <w:rPr>
          <w:sz w:val="22"/>
          <w:szCs w:val="22"/>
        </w:rPr>
      </w:pPr>
      <w:r>
        <w:rPr>
          <w:i/>
          <w:iCs/>
        </w:rPr>
        <w:t xml:space="preserve">3. Scope of Leadership Responsibility</w:t>
      </w:r>
    </w:p>
    <w:p>
      <w:pPr>
        <w:spacing w:after="120"/>
      </w:pPr>
      <w:r>
        <w:t xml:space="preserve">Leadership guides and is accountable for the following organizational functions:</w:t>
      </w:r>
    </w:p>
    <w:p>
      <w:pPr>
        <w:pStyle w:val="ListParagraph"/>
        <w:numPr>
          <w:ilvl w:val="0"/>
          <w:numId w:val="3"/>
        </w:numPr>
      </w:pPr>
      <w:r>
        <w:t xml:space="preserve">Establishing and communicating the organization's mission and strategic direction</w:t>
      </w:r>
    </w:p>
    <w:p>
      <w:pPr>
        <w:pStyle w:val="ListParagraph"/>
        <w:numPr>
          <w:ilvl w:val="0"/>
          <w:numId w:val="3"/>
        </w:numPr>
      </w:pPr>
      <w:r>
        <w:t xml:space="preserve">Promoting the value and achievement of outcomes of programs and services</w:t>
      </w:r>
    </w:p>
    <w:p>
      <w:pPr>
        <w:pStyle w:val="ListParagraph"/>
        <w:numPr>
          <w:ilvl w:val="0"/>
          <w:numId w:val="3"/>
        </w:numPr>
      </w:pPr>
      <w:r>
        <w:t xml:space="preserve">Balancing the expectations of persons served against other stakeholder needs</w:t>
      </w:r>
    </w:p>
    <w:p>
      <w:pPr>
        <w:pStyle w:val="ListParagraph"/>
        <w:numPr>
          <w:ilvl w:val="0"/>
          <w:numId w:val="3"/>
        </w:numPr>
      </w:pPr>
      <w:r>
        <w:t xml:space="preserve">Maintaining financial solvency</w:t>
      </w:r>
    </w:p>
    <w:p>
      <w:pPr>
        <w:pStyle w:val="ListParagraph"/>
        <w:numPr>
          <w:ilvl w:val="0"/>
          <w:numId w:val="3"/>
        </w:numPr>
      </w:pPr>
      <w:r>
        <w:t xml:space="preserve">Risk management (see Policy 1.G)</w:t>
      </w:r>
    </w:p>
    <w:p>
      <w:pPr>
        <w:pStyle w:val="ListParagraph"/>
        <w:numPr>
          <w:ilvl w:val="0"/>
          <w:numId w:val="3"/>
        </w:numPr>
      </w:pPr>
      <w:r>
        <w:t xml:space="preserve">Ongoing performance improvement (see Policy 1.M)</w:t>
      </w:r>
    </w:p>
    <w:p>
      <w:pPr>
        <w:pStyle w:val="ListParagraph"/>
        <w:numPr>
          <w:ilvl w:val="0"/>
          <w:numId w:val="3"/>
        </w:numPr>
      </w:pPr>
      <w:r>
        <w:t xml:space="preserve">Development and implementation of corporate responsibility / ethics practices (see Section 6 of this Policy)</w:t>
      </w:r>
    </w:p>
    <w:p>
      <w:pPr>
        <w:pStyle w:val="ListParagraph"/>
        <w:numPr>
          <w:ilvl w:val="0"/>
          <w:numId w:val="3"/>
        </w:numPr>
      </w:pPr>
      <w:r>
        <w:t xml:space="preserve">Compliance with all applicable legal and regulatory requirements</w:t>
      </w:r>
    </w:p>
    <w:p>
      <w:pPr>
        <w:pStyle w:val="ListParagraph"/>
        <w:numPr>
          <w:ilvl w:val="0"/>
          <w:numId w:val="3"/>
        </w:numPr>
      </w:pPr>
      <w:r>
        <w:t xml:space="preserve">Quarterly review of organizational policies (see Section 4 of this Policy)</w:t>
      </w:r>
    </w:p>
    <w:p>
      <w:pPr>
        <w:pStyle w:val="ListParagraph"/>
        <w:numPr>
          <w:ilvl w:val="0"/>
          <w:numId w:val="3"/>
        </w:numPr>
      </w:pPr>
      <w:r>
        <w:t xml:space="preserve">Health and safety of persons served, personnel, and visitors (see Policy 1.H)</w:t>
      </w:r>
    </w:p>
    <w:p>
      <w:pPr>
        <w:pStyle w:val="ListParagraph"/>
        <w:numPr>
          <w:ilvl w:val="0"/>
          <w:numId w:val="3"/>
        </w:numPr>
      </w:pPr>
      <w:r>
        <w:t xml:space="preserve">Succession planning (see Section 5 of this Policy)</w:t>
      </w:r>
    </w:p>
    <w:p>
      <w:pPr>
        <w:pStyle w:val="ListParagraph"/>
        <w:numPr>
          <w:ilvl w:val="0"/>
          <w:numId w:val="3"/>
        </w:numPr>
      </w:pPr>
      <w:r>
        <w:t xml:space="preserve">Strategic planning (see Policy 1.C)</w:t>
      </w:r>
    </w:p>
    <w:p>
      <w:pPr>
        <w:pStyle w:val="ListParagraph"/>
        <w:numPr>
          <w:ilvl w:val="0"/>
          <w:numId w:val="3"/>
        </w:numPr>
      </w:pPr>
      <w:r>
        <w:t xml:space="preserve">Technology planning, including evaluation of any future use of artificial or augmented intelligence (AI) tools (see Section 7 of this Policy)</w:t>
      </w:r>
    </w:p>
    <w:p>
      <w:pPr>
        <w:pStyle w:val="Heading3"/>
        <w:rPr>
          <w:sz w:val="22"/>
          <w:szCs w:val="22"/>
        </w:rPr>
      </w:pPr>
      <w:r>
        <w:rPr>
          <w:i/>
          <w:iCs/>
        </w:rPr>
        <w:t xml:space="preserve">4. Policy Review Cycle</w:t>
      </w:r>
    </w:p>
    <w:p>
      <w:pPr>
        <w:pStyle w:val="ListParagraph"/>
        <w:numPr>
          <w:ilvl w:val="0"/>
          <w:numId w:val="2"/>
        </w:numPr>
      </w:pPr>
      <w:r>
        <w:t xml:space="preserve">The Executive Director/CEO, together with the leadership team, reviews all organizational policies on a quarterly basis (at minimum: [specify months, e.g., January, April, July, October]).</w:t>
      </w:r>
    </w:p>
    <w:p>
      <w:pPr>
        <w:pStyle w:val="ListParagraph"/>
        <w:numPr>
          <w:ilvl w:val="0"/>
          <w:numId w:val="2"/>
        </w:numPr>
      </w:pPr>
      <w:r>
        <w:t xml:space="preserve">The quarterly review evaluates each policy for continued relevance, legal/regulatory currency, and alignment with current operations, and identifies any policies requiring revision or retirement.</w:t>
      </w:r>
    </w:p>
    <w:p>
      <w:pPr>
        <w:pStyle w:val="ListParagraph"/>
        <w:numPr>
          <w:ilvl w:val="0"/>
          <w:numId w:val="2"/>
        </w:numPr>
      </w:pPr>
      <w:r>
        <w:t xml:space="preserve">Leadership documents the date of each review and any resulting revisions in the Policy Review Log maintained with this manual.</w:t>
      </w:r>
    </w:p>
    <w:p>
      <w:pPr>
        <w:pStyle w:val="ListParagraph"/>
        <w:numPr>
          <w:ilvl w:val="0"/>
          <w:numId w:val="2"/>
        </w:numPr>
      </w:pPr>
      <w:r>
        <w:t xml:space="preserve">Policies specific to a particular program may also be reviewed by that program's leadership, with proposed revisions forwarded to the Executive Director/CEO for final approval.</w:t>
      </w:r>
    </w:p>
    <w:p>
      <w:pPr>
        <w:pStyle w:val="Heading3"/>
        <w:rPr>
          <w:sz w:val="22"/>
          <w:szCs w:val="22"/>
        </w:rPr>
      </w:pPr>
      <w:r>
        <w:rPr>
          <w:i/>
          <w:iCs/>
        </w:rPr>
        <w:t xml:space="preserve">5. Succession Planning</w:t>
      </w:r>
    </w:p>
    <w:p>
      <w:pPr>
        <w:pStyle w:val="ListParagraph"/>
        <w:numPr>
          <w:ilvl w:val="0"/>
          <w:numId w:val="2"/>
        </w:numPr>
      </w:pPr>
      <w:r>
        <w:t xml:space="preserve">Leadership maintains a written succession plan identifying actions to be taken if a key leadership position becomes vacant due to retirement, resignation, illness, death, or other cause.</w:t>
      </w:r>
    </w:p>
    <w:p>
      <w:pPr>
        <w:pStyle w:val="ListParagraph"/>
        <w:numPr>
          <w:ilvl w:val="0"/>
          <w:numId w:val="2"/>
        </w:numPr>
      </w:pPr>
      <w:r>
        <w:t xml:space="preserve">The succession plan identifies, where feasible, internal personnel who could assume key leadership roles on an interim or permanent basis, and notes any roles for which external recruitment would be required.</w:t>
      </w:r>
    </w:p>
    <w:p>
      <w:pPr>
        <w:pStyle w:val="ListParagraph"/>
        <w:numPr>
          <w:ilvl w:val="0"/>
          <w:numId w:val="2"/>
        </w:numPr>
      </w:pPr>
      <w:r>
        <w:t xml:space="preserve">The succession plan is reviewed as part of the quarterly policy review described in Section 4 above, and updated whenever leadership composition changes.</w:t>
      </w:r>
    </w:p>
    <w:p>
      <w:pPr>
        <w:pStyle w:val="Heading3"/>
        <w:rPr>
          <w:sz w:val="22"/>
          <w:szCs w:val="22"/>
        </w:rPr>
      </w:pPr>
      <w:r>
        <w:rPr>
          <w:i/>
          <w:iCs/>
        </w:rPr>
        <w:t xml:space="preserve">6. Corporate Responsibility and Ethical Conduct</w:t>
      </w:r>
    </w:p>
    <w:p>
      <w:pPr>
        <w:spacing w:after="120"/>
      </w:pPr>
      <w:r>
        <w:t xml:space="preserve">The organization maintains a written Code of Ethical Conduct addressing, at minimum, the following areas:</w:t>
      </w:r>
    </w:p>
    <w:p>
      <w:pPr>
        <w:pStyle w:val="ListParagraph"/>
        <w:numPr>
          <w:ilvl w:val="0"/>
          <w:numId w:val="3"/>
        </w:numPr>
      </w:pPr>
      <w:r>
        <w:t xml:space="preserve">Business practices and marketing</w:t>
      </w:r>
    </w:p>
    <w:p>
      <w:pPr>
        <w:pStyle w:val="ListParagraph"/>
        <w:numPr>
          <w:ilvl w:val="0"/>
          <w:numId w:val="3"/>
        </w:numPr>
      </w:pPr>
      <w:r>
        <w:t xml:space="preserve">Contractual relationships and conflicts of interest</w:t>
      </w:r>
    </w:p>
    <w:p>
      <w:pPr>
        <w:pStyle w:val="ListParagraph"/>
        <w:numPr>
          <w:ilvl w:val="0"/>
          <w:numId w:val="3"/>
        </w:numPr>
      </w:pPr>
      <w:r>
        <w:t xml:space="preserve">Use of social media</w:t>
      </w:r>
    </w:p>
    <w:p>
      <w:pPr>
        <w:pStyle w:val="ListParagraph"/>
        <w:numPr>
          <w:ilvl w:val="0"/>
          <w:numId w:val="3"/>
        </w:numPr>
      </w:pPr>
      <w:r>
        <w:t xml:space="preserve">Service delivery conduct, including the exchange of gifts, money, or gratuities; personal fundraising; personal property; professional boundaries; and witnessing of legal documents</w:t>
      </w:r>
    </w:p>
    <w:p>
      <w:pPr>
        <w:pStyle w:val="ListParagraph"/>
        <w:numPr>
          <w:ilvl w:val="0"/>
          <w:numId w:val="3"/>
        </w:numPr>
      </w:pPr>
      <w:r>
        <w:t xml:space="preserve">Professional responsibilities and human resources practices</w:t>
      </w:r>
    </w:p>
    <w:p>
      <w:pPr>
        <w:pStyle w:val="ListParagraph"/>
        <w:numPr>
          <w:ilvl w:val="0"/>
          <w:numId w:val="3"/>
        </w:numPr>
      </w:pPr>
      <w:r>
        <w:t xml:space="preserve">Organizational fundraising (if applicable)</w:t>
      </w:r>
    </w:p>
    <w:p>
      <w:pPr>
        <w:pStyle w:val="ListParagraph"/>
        <w:numPr>
          <w:ilvl w:val="0"/>
          <w:numId w:val="3"/>
        </w:numPr>
      </w:pPr>
      <w:r>
        <w:t xml:space="preserve">Prohibition of waste, fraud, abuse, and other wrongdoing</w:t>
      </w:r>
    </w:p>
    <w:p>
      <w:pPr>
        <w:spacing w:after="120" w:before="160"/>
      </w:pPr>
      <w:r>
        <w:t xml:space="preserve">Reporting and Investigation of Ethics Violations:</w:t>
      </w:r>
    </w:p>
    <w:p>
      <w:pPr>
        <w:pStyle w:val="ListParagraph"/>
        <w:numPr>
          <w:ilvl w:val="0"/>
          <w:numId w:val="2"/>
        </w:numPr>
      </w:pPr>
      <w:r>
        <w:t xml:space="preserve">Personnel and stakeholders may report suspected violations of the Code of Ethical Conduct to [specify: e.g., the Executive Director/CEO, or a designated Ethics/Compliance contact] without fear of reprisal.</w:t>
      </w:r>
    </w:p>
    <w:p>
      <w:pPr>
        <w:pStyle w:val="ListParagraph"/>
        <w:numPr>
          <w:ilvl w:val="0"/>
          <w:numId w:val="2"/>
        </w:numPr>
      </w:pPr>
      <w:r>
        <w:t xml:space="preserve">All reports are reviewed and an initial determination made within [specify number] business days of receipt.</w:t>
      </w:r>
    </w:p>
    <w:p>
      <w:pPr>
        <w:pStyle w:val="ListParagraph"/>
        <w:numPr>
          <w:ilvl w:val="0"/>
          <w:numId w:val="2"/>
        </w:numPr>
      </w:pPr>
      <w:r>
        <w:t xml:space="preserve">Investigations are documented, and a decision communicated to the reporting party (where not anonymous) within [specify timeframe].</w:t>
      </w:r>
    </w:p>
    <w:p>
      <w:pPr>
        <w:pStyle w:val="ListParagraph"/>
        <w:numPr>
          <w:ilvl w:val="0"/>
          <w:numId w:val="2"/>
        </w:numPr>
      </w:pPr>
      <w:r>
        <w:t xml:space="preserve">All personnel receive education on the Code of Ethical Conduct during new-employee orientation and at least annually thereafter. Other stakeholders (e.g., board members, volunteers) receive equivalent orientation as applicable.</w:t>
      </w:r>
    </w:p>
    <w:p>
      <w:pPr>
        <w:pStyle w:val="Heading3"/>
        <w:rPr>
          <w:sz w:val="22"/>
          <w:szCs w:val="22"/>
        </w:rPr>
      </w:pPr>
      <w:r>
        <w:rPr>
          <w:i/>
          <w:iCs/>
        </w:rPr>
        <w:t xml:space="preserve">7. Use of Artificial or Augmented Intelligence (AI)</w:t>
      </w:r>
    </w:p>
    <w:p>
      <w:pPr>
        <w:spacing w:after="160"/>
      </w:pPr>
      <w:r>
        <w:rPr>
          <w:b/>
          <w:bCs/>
          <w:color w:val="C00000"/>
        </w:rPr>
        <w:t xml:space="preserve">Status: Not currently applicable. </w:t>
      </w:r>
      <w:r>
        <w:t xml:space="preserve">As of the date of this policy, the organization does not use artificial or augmented intelligence (AI) tools in service delivery, clinical documentation, or data analysis. Standard 1.A.5 of the CARF 2026 Behavioral Health Standards Manual requires a written AI governance policy only where AI is in use. Should the organization adopt any AI tool in the future, this section must be completed before that tool is implemented, and must address: (a) how AI is used; (b) disclosure to persons served; (c) protection of health information privacy; (d) protection of sensitive data; (e) human oversight and accountability; and (f) incident reporting procedures, reviewed at least annually. This manual should be updated immediately if that status changes.</w:t>
      </w:r>
    </w:p>
    <w:p>
      <w:pPr>
        <w:pStyle w:val="Heading3"/>
      </w:pPr>
      <w:r>
        <w:t xml:space="preserve">Responsible Party</w:t>
      </w:r>
    </w:p>
    <w:p>
      <w:pPr>
        <w:spacing w:after="160"/>
      </w:pPr>
      <w:r>
        <w:t xml:space="preserve">Executive Director/CEO, in conjunction with the leadership team.</w:t>
      </w:r>
    </w:p>
    <w:p>
      <w:pPr>
        <w:pStyle w:val="Heading3"/>
      </w:pPr>
      <w:r>
        <w:t xml:space="preserve">Items Requiring Organization Input</w:t>
      </w:r>
    </w:p>
    <w:p>
      <w:pPr>
        <w:spacing w:after="160"/>
      </w:pPr>
      <w:r>
        <w:rPr>
          <w:i/>
          <w:iCs/>
          <w:color w:val="C00000"/>
        </w:rPr>
        <w:t xml:space="preserve">The following bracketed placeholders in this policy must be finalized with actual organizational practice before this document is considered complete: </w:t>
      </w:r>
      <w:r>
        <w:rPr>
          <w:i/>
          <w:iCs/>
          <w:color w:val="C00000"/>
        </w:rPr>
        <w:t xml:space="preserve">(1) communication channels for the person-centered philosophy; (2) who maintains job descriptions; (3) specific months for quarterly policy review; (4) ethics report recipient/contact; (5) ethics investigation response timeframes.</w:t>
      </w:r>
    </w:p>
    <w:p>
      <w:pPr>
        <w:pStyle w:val="Heading2"/>
      </w:pPr>
      <w:r>
        <w:t xml:space="preserve">Policy 1.C — Strategic Planning</w:t>
      </w:r>
    </w:p>
    <w:p>
      <w:pPr>
        <w:pStyle w:val="Heading3"/>
      </w:pPr>
      <w:r>
        <w:t xml:space="preserve">Policy Statement</w:t>
      </w:r>
    </w:p>
    <w:p>
      <w:pPr>
        <w:spacing w:after="160"/>
      </w:pPr>
      <w:r>
        <w:t xml:space="preserve">The organization engages in ongoing strategic planning that accounts for the expectations of persons served and other stakeholders, the competitive and regulatory environment, financial opportunities and threats, the organization's capabilities, social determinants of health, service-area demographics, and the organization's current and future use of technology and data. The organization develops and implements a written strategic plan with input from persons served, personnel, and other stakeholders, and reviews and updates that plan annually.</w:t>
      </w:r>
    </w:p>
    <w:p>
      <w:pPr>
        <w:spacing w:after="160"/>
      </w:pPr>
      <w:r>
        <w:rPr>
          <w:b/>
          <w:bCs/>
        </w:rPr>
        <w:t xml:space="preserve">CARF Reference: </w:t>
      </w:r>
      <w:r>
        <w:t xml:space="preserve">Standards 1.C.1–1.C.2 (2026 Behavioral Health Standards Manual, Section 1.C, Strategic Planning)</w:t>
      </w:r>
    </w:p>
    <w:p>
      <w:pPr>
        <w:pStyle w:val="Heading3"/>
      </w:pPr>
      <w:r>
        <w:t xml:space="preserve">Procedure</w:t>
      </w:r>
    </w:p>
    <w:p>
      <w:pPr>
        <w:pStyle w:val="Heading3"/>
        <w:rPr>
          <w:sz w:val="22"/>
          <w:szCs w:val="22"/>
        </w:rPr>
      </w:pPr>
      <w:r>
        <w:rPr>
          <w:i/>
          <w:iCs/>
        </w:rPr>
        <w:t xml:space="preserve">1. Establishing the Strategic Plan</w:t>
      </w:r>
    </w:p>
    <w:p>
      <w:pPr>
        <w:spacing w:after="120"/>
      </w:pPr>
      <w:r>
        <w:rPr>
          <w:b/>
          <w:bCs/>
          <w:color w:val="C00000"/>
        </w:rPr>
        <w:t xml:space="preserve">Status: Initial plan in development. </w:t>
      </w:r>
      <w:r>
        <w:t xml:space="preserve">The organization does not yet have a written strategic plan. The Executive Director/CEO is responsible for leading the development of the organization's first written strategic plan, to be completed by [specify target date]. Once adopted, this section governs its ongoing maintenance.</w:t>
      </w:r>
    </w:p>
    <w:p>
      <w:pPr>
        <w:pStyle w:val="ListParagraph"/>
        <w:numPr>
          <w:ilvl w:val="0"/>
          <w:numId w:val="2"/>
        </w:numPr>
      </w:pPr>
      <w:r>
        <w:t xml:space="preserve">The Executive Director/CEO leads an annual strategic planning process, scheduled to begin each [specify month, e.g., September] so that the updated plan is adopted before the start of the following fiscal/program year.</w:t>
      </w:r>
    </w:p>
    <w:p>
      <w:pPr>
        <w:pStyle w:val="ListParagraph"/>
        <w:numPr>
          <w:ilvl w:val="0"/>
          <w:numId w:val="2"/>
        </w:numPr>
      </w:pPr>
      <w:r>
        <w:t xml:space="preserve">The planning process gathers input from persons served, personnel, and other stakeholders through [specify mechanisms, e.g., satisfaction surveys, staff meetings, stakeholder feedback forms]. [Placeholder — confirm actual input-gathering methods.]</w:t>
      </w:r>
    </w:p>
    <w:p>
      <w:pPr>
        <w:pStyle w:val="ListParagraph"/>
        <w:numPr>
          <w:ilvl w:val="0"/>
          <w:numId w:val="2"/>
        </w:numPr>
      </w:pPr>
      <w:r>
        <w:t xml:space="preserve">As part of the annual planning process, leadership reviews and documents the organization's position regarding each of the following factors:</w:t>
      </w:r>
    </w:p>
    <w:p>
      <w:pPr>
        <w:pStyle w:val="ListParagraph"/>
        <w:numPr>
          <w:ilvl w:val="0"/>
          <w:numId w:val="3"/>
        </w:numPr>
      </w:pPr>
      <w:r>
        <w:t xml:space="preserve">Expectations of persons served and other stakeholders</w:t>
      </w:r>
    </w:p>
    <w:p>
      <w:pPr>
        <w:pStyle w:val="ListParagraph"/>
        <w:numPr>
          <w:ilvl w:val="0"/>
          <w:numId w:val="3"/>
        </w:numPr>
      </w:pPr>
      <w:r>
        <w:t xml:space="preserve">The competitive environment in which the organization operates</w:t>
      </w:r>
    </w:p>
    <w:p>
      <w:pPr>
        <w:pStyle w:val="ListParagraph"/>
        <w:numPr>
          <w:ilvl w:val="0"/>
          <w:numId w:val="3"/>
        </w:numPr>
      </w:pPr>
      <w:r>
        <w:t xml:space="preserve">Financial opportunities and threats</w:t>
      </w:r>
    </w:p>
    <w:p>
      <w:pPr>
        <w:pStyle w:val="ListParagraph"/>
        <w:numPr>
          <w:ilvl w:val="0"/>
          <w:numId w:val="3"/>
        </w:numPr>
      </w:pPr>
      <w:r>
        <w:t xml:space="preserve">The organization's capabilities, including staffing and succession needs in key administrative, financial, and service-delivery positions</w:t>
      </w:r>
    </w:p>
    <w:p>
      <w:pPr>
        <w:pStyle w:val="ListParagraph"/>
        <w:numPr>
          <w:ilvl w:val="0"/>
          <w:numId w:val="3"/>
        </w:numPr>
      </w:pPr>
      <w:r>
        <w:t xml:space="preserve">Social determinants of health affecting persons served (e.g., transportation, housing, food security, healthcare access, exposure to trauma or violence)</w:t>
      </w:r>
    </w:p>
    <w:p>
      <w:pPr>
        <w:pStyle w:val="ListParagraph"/>
        <w:numPr>
          <w:ilvl w:val="0"/>
          <w:numId w:val="3"/>
        </w:numPr>
      </w:pPr>
      <w:r>
        <w:t xml:space="preserve">Demographics of the service area and how they are changing</w:t>
      </w:r>
    </w:p>
    <w:p>
      <w:pPr>
        <w:pStyle w:val="ListParagraph"/>
        <w:numPr>
          <w:ilvl w:val="0"/>
          <w:numId w:val="3"/>
        </w:numPr>
      </w:pPr>
      <w:r>
        <w:t xml:space="preserve">Relationships with external stakeholders</w:t>
      </w:r>
    </w:p>
    <w:p>
      <w:pPr>
        <w:pStyle w:val="ListParagraph"/>
        <w:numPr>
          <w:ilvl w:val="0"/>
          <w:numId w:val="3"/>
        </w:numPr>
      </w:pPr>
      <w:r>
        <w:t xml:space="preserve">The regulatory and legislative environment, including relevant funding or policy changes</w:t>
      </w:r>
    </w:p>
    <w:p>
      <w:pPr>
        <w:pStyle w:val="ListParagraph"/>
        <w:numPr>
          <w:ilvl w:val="0"/>
          <w:numId w:val="3"/>
        </w:numPr>
      </w:pPr>
      <w:r>
        <w:t xml:space="preserve">The organization's current use of technology and data, including identified gaps and opportunities, and how technology will support efficient business processes, effective service delivery, increased access to services, and performance improvement</w:t>
      </w:r>
    </w:p>
    <w:p>
      <w:pPr>
        <w:pStyle w:val="ListParagraph"/>
        <w:numPr>
          <w:ilvl w:val="0"/>
          <w:numId w:val="3"/>
        </w:numPr>
      </w:pPr>
      <w:r>
        <w:t xml:space="preserve">Findings from the organization's most recent performance analysis (see Policy 1.L, Performance Measurement and Management)</w:t>
      </w:r>
    </w:p>
    <w:p>
      <w:pPr>
        <w:pStyle w:val="Heading3"/>
        <w:rPr>
          <w:sz w:val="22"/>
          <w:szCs w:val="22"/>
        </w:rPr>
      </w:pPr>
      <w:r>
        <w:rPr>
          <w:i/>
          <w:iCs/>
        </w:rPr>
        <w:t xml:space="preserve">2. Plan Content and Stakeholder Input</w:t>
      </w:r>
    </w:p>
    <w:p>
      <w:pPr>
        <w:pStyle w:val="ListParagraph"/>
        <w:numPr>
          <w:ilvl w:val="0"/>
          <w:numId w:val="2"/>
        </w:numPr>
      </w:pPr>
      <w:r>
        <w:t xml:space="preserve">The written strategic plan is developed with documented input from persons served, personnel, and other stakeholders, gathered through the methods identified in Section 1 above.</w:t>
      </w:r>
    </w:p>
    <w:p>
      <w:pPr>
        <w:pStyle w:val="ListParagraph"/>
        <w:numPr>
          <w:ilvl w:val="0"/>
          <w:numId w:val="2"/>
        </w:numPr>
      </w:pPr>
      <w:r>
        <w:t xml:space="preserve">The strategic plan identifies organizational priorities, goals, and measurable objectives for the planning period, and assigns responsibility for each.</w:t>
      </w:r>
    </w:p>
    <w:p>
      <w:pPr>
        <w:pStyle w:val="ListParagraph"/>
        <w:numPr>
          <w:ilvl w:val="0"/>
          <w:numId w:val="2"/>
        </w:numPr>
      </w:pPr>
      <w:r>
        <w:t xml:space="preserve">The Executive Director/CEO maintains the current strategic plan on file and ensures it is accessible to leadership and, in summary form, to personnel.</w:t>
      </w:r>
    </w:p>
    <w:p>
      <w:pPr>
        <w:pStyle w:val="Heading3"/>
        <w:rPr>
          <w:sz w:val="22"/>
          <w:szCs w:val="22"/>
        </w:rPr>
      </w:pPr>
      <w:r>
        <w:rPr>
          <w:i/>
          <w:iCs/>
        </w:rPr>
        <w:t xml:space="preserve">3. Annual Review and Update</w:t>
      </w:r>
    </w:p>
    <w:p>
      <w:pPr>
        <w:pStyle w:val="ListParagraph"/>
        <w:numPr>
          <w:ilvl w:val="0"/>
          <w:numId w:val="2"/>
        </w:numPr>
      </w:pPr>
      <w:r>
        <w:t xml:space="preserve">The strategic plan is formally reviewed and updated at least annually, in conjunction with the quarterly policy review cycle described in Policy 1.A, Section 4.</w:t>
      </w:r>
    </w:p>
    <w:p>
      <w:pPr>
        <w:pStyle w:val="ListParagraph"/>
        <w:numPr>
          <w:ilvl w:val="0"/>
          <w:numId w:val="2"/>
        </w:numPr>
      </w:pPr>
      <w:r>
        <w:t xml:space="preserve">The annual review documents progress against the prior plan's goals and objectives, and revises priorities based on updated input and environmental factors.</w:t>
      </w:r>
    </w:p>
    <w:p>
      <w:pPr>
        <w:pStyle w:val="ListParagraph"/>
        <w:numPr>
          <w:ilvl w:val="0"/>
          <w:numId w:val="2"/>
        </w:numPr>
      </w:pPr>
      <w:r>
        <w:t xml:space="preserve">The date of each annual review and the resulting plan revisions are documented in the Policy Review Log.</w:t>
      </w:r>
    </w:p>
    <w:p>
      <w:pPr>
        <w:pStyle w:val="Heading3"/>
      </w:pPr>
      <w:r>
        <w:t xml:space="preserve">Responsible Party</w:t>
      </w:r>
    </w:p>
    <w:p>
      <w:pPr>
        <w:spacing w:after="160"/>
      </w:pPr>
      <w:r>
        <w:t xml:space="preserve">Executive Director/CEO, in conjunction with the leadership team.</w:t>
      </w:r>
    </w:p>
    <w:p>
      <w:pPr>
        <w:pStyle w:val="Heading3"/>
      </w:pPr>
      <w:r>
        <w:t xml:space="preserve">Items Requiring Organization Input</w:t>
      </w:r>
    </w:p>
    <w:p>
      <w:pPr>
        <w:spacing w:after="160"/>
      </w:pPr>
      <w:r>
        <w:rPr>
          <w:i/>
          <w:iCs/>
          <w:color w:val="C00000"/>
        </w:rPr>
        <w:t xml:space="preserve">The following must be finalized before this section is complete: </w:t>
      </w:r>
      <w:r>
        <w:rPr>
          <w:i/>
          <w:iCs/>
          <w:color w:val="C00000"/>
        </w:rPr>
        <w:t xml:space="preserve">(1) target date for completing the organization's first written strategic plan; (2) starting month for the annual planning cycle; (3) specific methods for gathering input from persons served, personnel, and other stakeholders.</w:t>
      </w:r>
    </w:p>
    <w:p>
      <w:pPr>
        <w:pStyle w:val="Heading2"/>
      </w:pPr>
      <w:r>
        <w:t xml:space="preserve">Policy 1.D — Input from Persons Served and Other Stakeholders</w:t>
      </w:r>
    </w:p>
    <w:p>
      <w:pPr>
        <w:pStyle w:val="Heading3"/>
      </w:pPr>
      <w:r>
        <w:t xml:space="preserve">Policy Statement</w:t>
      </w:r>
    </w:p>
    <w:p>
      <w:pPr>
        <w:spacing w:after="160"/>
      </w:pPr>
      <w:r>
        <w:t xml:space="preserve">The organization obtains input from persons served, personnel, and other stakeholders on an ongoing basis, using a variety of mechanisms. Leadership analyzes this input and uses it in program planning, performance improvement, strategic planning, organizational advocacy, financial planning, resource planning, workforce planning, and technology planning.</w:t>
      </w:r>
    </w:p>
    <w:p>
      <w:pPr>
        <w:spacing w:after="160"/>
      </w:pPr>
      <w:r>
        <w:rPr>
          <w:b/>
          <w:bCs/>
        </w:rPr>
        <w:t xml:space="preserve">CARF Reference: </w:t>
      </w:r>
      <w:r>
        <w:t xml:space="preserve">Standards 1.D.1–1.D.2 (2026 Behavioral Health Standards Manual, Section 1.D, Input from Persons Served and Other Stakeholders)</w:t>
      </w:r>
    </w:p>
    <w:p>
      <w:pPr>
        <w:pStyle w:val="Heading3"/>
      </w:pPr>
      <w:r>
        <w:t xml:space="preserve">Procedure</w:t>
      </w:r>
    </w:p>
    <w:p>
      <w:pPr>
        <w:pStyle w:val="Heading3"/>
        <w:rPr>
          <w:sz w:val="22"/>
          <w:szCs w:val="22"/>
        </w:rPr>
      </w:pPr>
      <w:r>
        <w:rPr>
          <w:i/>
          <w:iCs/>
        </w:rPr>
        <w:t xml:space="preserve">1. Mechanisms for Obtaining Input</w:t>
      </w:r>
    </w:p>
    <w:p>
      <w:pPr>
        <w:spacing w:after="120"/>
      </w:pPr>
      <w:r>
        <w:t xml:space="preserve">The organization obtains input continuously throughout the year, not solely through a single annual event, using the following mechanisms at minimum:</w:t>
      </w:r>
    </w:p>
    <w:p>
      <w:pPr>
        <w:pStyle w:val="ListParagraph"/>
        <w:numPr>
          <w:ilvl w:val="0"/>
          <w:numId w:val="3"/>
        </w:numPr>
      </w:pPr>
      <w:r>
        <w:rPr>
          <w:b/>
          <w:bCs/>
        </w:rPr>
        <w:t xml:space="preserve">Persons served: </w:t>
      </w:r>
      <w:r>
        <w:t xml:space="preserve">satisfaction surveys/feedback forms, administered at [specify frequency and point in service, e.g., at discharge and at periodic intervals during treatment]. [Placeholder — confirm survey timing and administration method.]</w:t>
      </w:r>
    </w:p>
    <w:p>
      <w:pPr>
        <w:pStyle w:val="ListParagraph"/>
        <w:numPr>
          <w:ilvl w:val="0"/>
          <w:numId w:val="3"/>
        </w:numPr>
      </w:pPr>
      <w:r>
        <w:rPr>
          <w:b/>
          <w:bCs/>
        </w:rPr>
        <w:t xml:space="preserve">Personnel: </w:t>
      </w:r>
      <w:r>
        <w:t xml:space="preserve">input gathered through regular staff meetings, held [specify frequency, e.g., weekly/biweekly/monthly].</w:t>
      </w:r>
    </w:p>
    <w:p>
      <w:pPr>
        <w:pStyle w:val="ListParagraph"/>
        <w:numPr>
          <w:ilvl w:val="0"/>
          <w:numId w:val="3"/>
        </w:numPr>
      </w:pPr>
      <w:r>
        <w:rPr>
          <w:b/>
          <w:bCs/>
        </w:rPr>
        <w:t xml:space="preserve">Other stakeholders: </w:t>
      </w:r>
      <w:r>
        <w:t xml:space="preserve">input gathered through [specify mechanisms, e.g., referral source check-ins, family feedback, community partner conversations]. [Placeholder — confirm mechanisms for stakeholders other than persons served and personnel.]</w:t>
      </w:r>
    </w:p>
    <w:p>
      <w:pPr>
        <w:pStyle w:val="ListParagraph"/>
        <w:numPr>
          <w:ilvl w:val="0"/>
          <w:numId w:val="3"/>
        </w:numPr>
      </w:pPr>
      <w:r>
        <w:t xml:space="preserve">Complaints, grievances, and incident reports are also treated as a form of ongoing input (see the organization's Grievance Policy).</w:t>
      </w:r>
    </w:p>
    <w:p>
      <w:pPr>
        <w:spacing w:after="160" w:before="120"/>
      </w:pPr>
      <w:r>
        <w:t xml:space="preserve">Mechanisms account for the diversity of respondents, including language and communication preferences, literacy level, cultural communication preferences, and access to technology versus in-person options.</w:t>
      </w:r>
    </w:p>
    <w:p>
      <w:pPr>
        <w:pStyle w:val="Heading3"/>
        <w:rPr>
          <w:sz w:val="22"/>
          <w:szCs w:val="22"/>
        </w:rPr>
      </w:pPr>
      <w:r>
        <w:rPr>
          <w:i/>
          <w:iCs/>
        </w:rPr>
        <w:t xml:space="preserve">2. Analysis and Use of Input</w:t>
      </w:r>
    </w:p>
    <w:p>
      <w:pPr>
        <w:pStyle w:val="ListParagraph"/>
        <w:numPr>
          <w:ilvl w:val="0"/>
          <w:numId w:val="2"/>
        </w:numPr>
      </w:pPr>
      <w:r>
        <w:t xml:space="preserve">The Executive Director/CEO, or a designated leadership member, compiles and reviews input collected from persons served, personnel, and other stakeholders on a [specify frequency, e.g., quarterly] basis.</w:t>
      </w:r>
    </w:p>
    <w:p>
      <w:pPr>
        <w:pStyle w:val="ListParagraph"/>
        <w:numPr>
          <w:ilvl w:val="0"/>
          <w:numId w:val="2"/>
        </w:numPr>
      </w:pPr>
      <w:r>
        <w:t xml:space="preserve">The review determines whether the organization is meeting current needs, whether services remain relevant, and whether the input reveals new opportunities for program growth or development.</w:t>
      </w:r>
    </w:p>
    <w:p>
      <w:pPr>
        <w:pStyle w:val="ListParagraph"/>
        <w:numPr>
          <w:ilvl w:val="0"/>
          <w:numId w:val="2"/>
        </w:numPr>
      </w:pPr>
      <w:r>
        <w:t xml:space="preserve">Findings from this review are incorporated, as relevant, into: program planning; performance improvement activities (see Policy 1.M); strategic planning (see Policy 1.C); organizational advocacy efforts; financial planning; resource and workforce planning; and technology planning.</w:t>
      </w:r>
    </w:p>
    <w:p>
      <w:pPr>
        <w:pStyle w:val="ListParagraph"/>
        <w:numPr>
          <w:ilvl w:val="0"/>
          <w:numId w:val="2"/>
        </w:numPr>
      </w:pPr>
      <w:r>
        <w:t xml:space="preserve">A summary of input received and how it was used is documented and retained as part of the organization's performance improvement records.</w:t>
      </w:r>
    </w:p>
    <w:p>
      <w:pPr>
        <w:pStyle w:val="Heading3"/>
      </w:pPr>
      <w:r>
        <w:t xml:space="preserve">Responsible Party</w:t>
      </w:r>
    </w:p>
    <w:p>
      <w:pPr>
        <w:spacing w:after="160"/>
      </w:pPr>
      <w:r>
        <w:t xml:space="preserve">Executive Director/CEO, in conjunction with the leadership team.</w:t>
      </w:r>
    </w:p>
    <w:p>
      <w:pPr>
        <w:pStyle w:val="Heading3"/>
      </w:pPr>
      <w:r>
        <w:t xml:space="preserve">Items Requiring Organization Input</w:t>
      </w:r>
    </w:p>
    <w:p>
      <w:pPr>
        <w:spacing w:after="160"/>
      </w:pPr>
      <w:r>
        <w:rPr>
          <w:i/>
          <w:iCs/>
          <w:color w:val="C00000"/>
        </w:rPr>
        <w:t xml:space="preserve">The following must be finalized before this section is complete: </w:t>
      </w:r>
      <w:r>
        <w:rPr>
          <w:i/>
          <w:iCs/>
          <w:color w:val="C00000"/>
        </w:rPr>
        <w:t xml:space="preserve">(1) survey timing/administration method for persons served; (2) staff meeting frequency; (3) mechanisms for stakeholders other than persons served/personnel; (4) frequency of leadership's input-review cycle.</w:t>
      </w:r>
    </w:p>
    <w:p>
      <w:pPr>
        <w:pStyle w:val="Heading2"/>
      </w:pPr>
      <w:r>
        <w:t xml:space="preserve">Policy 1.E — Legal Requirements</w:t>
      </w:r>
    </w:p>
    <w:p>
      <w:pPr>
        <w:spacing w:after="160"/>
      </w:pPr>
      <w:r>
        <w:rPr>
          <w:b/>
          <w:bCs/>
          <w:color w:val="C00000"/>
        </w:rPr>
        <w:t xml:space="preserve">NOTE: This policy establishes the organizational framework required by CARF Standard 1.E. Several elements below require final sign-off from the organization's legal counsel/compliance consultant before this policy is adopted, as they involve jurisdiction-specific legal thresholds (e.g., record retention periods, subpoena response procedures) that fall outside the scope of this drafting process. These are flagged in red throughout.</w:t>
      </w:r>
    </w:p>
    <w:p>
      <w:pPr>
        <w:pStyle w:val="Heading3"/>
      </w:pPr>
      <w:r>
        <w:t xml:space="preserve">Policy Statement</w:t>
      </w:r>
    </w:p>
    <w:p>
      <w:pPr>
        <w:spacing w:after="160"/>
      </w:pPr>
      <w:r>
        <w:t xml:space="preserve">The organization maintains a documented process to comply with all applicable legal, regulatory, confidentiality, reporting, licensing, contractual, and employment obligations, including the protection of the rights and privacy of persons served. The organization implements written procedures guiding personnel response to subpoenas, search warrants, investigations, and other legal action, and maintains written policies governing the security, confidentiality, and retention of administrative records and records of persons served, in compliance with HIPAA and other applicable federal, state, and local law.</w:t>
      </w:r>
    </w:p>
    <w:p>
      <w:pPr>
        <w:spacing w:after="160"/>
      </w:pPr>
      <w:r>
        <w:rPr>
          <w:b/>
          <w:bCs/>
        </w:rPr>
        <w:t xml:space="preserve">CARF Reference: </w:t>
      </w:r>
      <w:r>
        <w:t xml:space="preserve">Standards 1.E.1–1.E.3 (2026 Behavioral Health Standards Manual, Section 1.E, Legal Requirements)</w:t>
      </w:r>
    </w:p>
    <w:p>
      <w:pPr>
        <w:pStyle w:val="Heading3"/>
      </w:pPr>
      <w:r>
        <w:t xml:space="preserve">Procedure</w:t>
      </w:r>
    </w:p>
    <w:p>
      <w:pPr>
        <w:pStyle w:val="Heading3"/>
        <w:rPr>
          <w:sz w:val="22"/>
          <w:szCs w:val="22"/>
        </w:rPr>
      </w:pPr>
      <w:r>
        <w:rPr>
          <w:i/>
          <w:iCs/>
        </w:rPr>
        <w:t xml:space="preserve">1. Compliance Monitoring</w:t>
      </w:r>
    </w:p>
    <w:p>
      <w:pPr>
        <w:pStyle w:val="ListParagraph"/>
        <w:numPr>
          <w:ilvl w:val="0"/>
          <w:numId w:val="2"/>
        </w:numPr>
      </w:pPr>
      <w:r>
        <w:t xml:space="preserve">The Executive Director/CEO is responsible for monitoring the organization's obligations in the following areas: legal, regulatory, confidentiality, reporting, licensing, contractual, debt covenants (if applicable), corporate status, rights of persons served, privacy of persons served, employment practices, and mandatory employee testing where applicable.</w:t>
      </w:r>
    </w:p>
    <w:p>
      <w:pPr>
        <w:pStyle w:val="ListParagraph"/>
        <w:numPr>
          <w:ilvl w:val="0"/>
          <w:numId w:val="2"/>
        </w:numPr>
      </w:pPr>
      <w:r>
        <w:t xml:space="preserve">The organization consults with legal counsel/compliance support on a [specify frequency, e.g., annual or as-needed] basis to confirm continued compliance and to identify new or changed obligations.</w:t>
      </w:r>
    </w:p>
    <w:p>
      <w:pPr>
        <w:pStyle w:val="ListParagraph"/>
        <w:numPr>
          <w:ilvl w:val="0"/>
          <w:numId w:val="2"/>
        </w:numPr>
      </w:pPr>
      <w:r>
        <w:t xml:space="preserve">The rights and privacy of persons served are addressed in the organization's Code of Ethical Conduct (see Policy 1.A, Section 6) and communicated to personnel through orientation/training, and to persons served in an understandable format at intake.</w:t>
      </w:r>
    </w:p>
    <w:p>
      <w:pPr>
        <w:pStyle w:val="Heading3"/>
        <w:rPr>
          <w:sz w:val="22"/>
          <w:szCs w:val="22"/>
        </w:rPr>
      </w:pPr>
      <w:r>
        <w:rPr>
          <w:i/>
          <w:iCs/>
        </w:rPr>
        <w:t xml:space="preserve">2. Responding to Subpoenas, Search Warrants, and Investigations</w:t>
      </w:r>
    </w:p>
    <w:p>
      <w:pPr>
        <w:spacing w:after="120"/>
      </w:pPr>
      <w:r>
        <w:rPr>
          <w:b/>
          <w:bCs/>
          <w:color w:val="C00000"/>
        </w:rPr>
        <w:t xml:space="preserve">Requires legal counsel sign-off before adoption. </w:t>
      </w:r>
      <w:r>
        <w:t xml:space="preserve">The procedure below is a placeholder structure; specific steps must be confirmed with legal counsel.</w:t>
      </w:r>
    </w:p>
    <w:p>
      <w:pPr>
        <w:pStyle w:val="ListParagraph"/>
        <w:numPr>
          <w:ilvl w:val="0"/>
          <w:numId w:val="2"/>
        </w:numPr>
      </w:pPr>
      <w:r>
        <w:t xml:space="preserve">Any personnel who receive a subpoena, search warrant, or notice of investigation/legal action involving the organization or its records immediately notify the Executive Director/CEO before taking any further action or releasing any information.</w:t>
      </w:r>
    </w:p>
    <w:p>
      <w:pPr>
        <w:pStyle w:val="ListParagraph"/>
        <w:numPr>
          <w:ilvl w:val="0"/>
          <w:numId w:val="2"/>
        </w:numPr>
      </w:pPr>
      <w:r>
        <w:t xml:space="preserve">The Executive Director/CEO contacts legal counsel before responding to or complying with any subpoena, search warrant, or investigative request. [Placeholder — confirm legal counsel's specific instructions for staff in the moment a warrant/subpoena is presented.]</w:t>
      </w:r>
    </w:p>
    <w:p>
      <w:pPr>
        <w:pStyle w:val="ListParagraph"/>
        <w:numPr>
          <w:ilvl w:val="0"/>
          <w:numId w:val="2"/>
        </w:numPr>
      </w:pPr>
      <w:r>
        <w:t xml:space="preserve">The organization provides personnel with support and guidance, including access to legal counsel, when personnel actions are the subject of an investigation related to their employment with the organization.</w:t>
      </w:r>
    </w:p>
    <w:p>
      <w:pPr>
        <w:pStyle w:val="ListParagraph"/>
        <w:numPr>
          <w:ilvl w:val="0"/>
          <w:numId w:val="2"/>
        </w:numPr>
      </w:pPr>
      <w:r>
        <w:t xml:space="preserve">No records, including records of persons served, are released in response to a subpoena, warrant, or investigative request without confirmation from legal counsel that the request is valid and that release is legally required or authorized.</w:t>
      </w:r>
    </w:p>
    <w:p>
      <w:pPr>
        <w:pStyle w:val="Heading3"/>
        <w:rPr>
          <w:sz w:val="22"/>
          <w:szCs w:val="22"/>
        </w:rPr>
      </w:pPr>
      <w:r>
        <w:rPr>
          <w:i/>
          <w:iCs/>
        </w:rPr>
        <w:t xml:space="preserve">3. Records Security, Confidentiality, and Retention</w:t>
      </w:r>
    </w:p>
    <w:p>
      <w:pPr>
        <w:spacing w:after="120"/>
      </w:pPr>
      <w:r>
        <w:rPr>
          <w:b/>
          <w:bCs/>
          <w:color w:val="C00000"/>
        </w:rPr>
        <w:t xml:space="preserve">Requires legal counsel/compliance sign-off on specific retention periods before adoption. </w:t>
      </w:r>
      <w:r>
        <w:t xml:space="preserve">This applies to all records, current and historical, in both paper and electronic form, and covers both administrative records (e.g., personnel files, contracts, budgets, billing, legal records, donor records) and records of persons served.</w:t>
      </w:r>
    </w:p>
    <w:p>
      <w:pPr>
        <w:pStyle w:val="ListParagraph"/>
        <w:numPr>
          <w:ilvl w:val="0"/>
          <w:numId w:val="2"/>
        </w:numPr>
      </w:pPr>
      <w:r>
        <w:t xml:space="preserve">Access to confidential records, including records of persons served, is limited to authorized personnel only, consistent with HIPAA's minimum-necessary standard.</w:t>
      </w:r>
    </w:p>
    <w:p>
      <w:pPr>
        <w:pStyle w:val="ListParagraph"/>
        <w:numPr>
          <w:ilvl w:val="0"/>
          <w:numId w:val="2"/>
        </w:numPr>
      </w:pPr>
      <w:r>
        <w:t xml:space="preserve">A designated individual ([specify role, e.g., Office Manager/Privacy Officer]) is responsible for records maintenance and control. [Placeholder — confirm who holds this responsibility.]</w:t>
      </w:r>
    </w:p>
    <w:p>
      <w:pPr>
        <w:pStyle w:val="ListParagraph"/>
        <w:numPr>
          <w:ilvl w:val="0"/>
          <w:numId w:val="2"/>
        </w:numPr>
      </w:pPr>
      <w:r>
        <w:t xml:space="preserve">Electronic records are backed up on a [specify frequency] basis and protected against unauthorized access consistent with the organization's HIPAA Security Rule safeguards.</w:t>
      </w:r>
    </w:p>
    <w:p>
      <w:pPr>
        <w:pStyle w:val="ListParagraph"/>
        <w:numPr>
          <w:ilvl w:val="0"/>
          <w:numId w:val="2"/>
        </w:numPr>
      </w:pPr>
      <w:r>
        <w:t xml:space="preserve">Records of persons served are retained for a minimum of [specify period — to be set by legal counsel based on applicable state requirements] from the date of last service, after which they are destroyed in accordance with [specify secure destruction method].</w:t>
      </w:r>
    </w:p>
    <w:p>
      <w:pPr>
        <w:pStyle w:val="ListParagraph"/>
        <w:numPr>
          <w:ilvl w:val="0"/>
          <w:numId w:val="2"/>
        </w:numPr>
      </w:pPr>
      <w:r>
        <w:t xml:space="preserve">Confidential administrative records (personnel files, contracts, billing, legal, donor records) are retained for [specify period — to be set by legal counsel/accountant] and destroyed securely thereafter.</w:t>
      </w:r>
    </w:p>
    <w:p>
      <w:pPr>
        <w:pStyle w:val="ListParagraph"/>
        <w:numPr>
          <w:ilvl w:val="0"/>
          <w:numId w:val="2"/>
        </w:numPr>
      </w:pPr>
      <w:r>
        <w:t xml:space="preserve">Entries into the records of persons served are completed within [specify timeframe, e.g., 24 or 48 hours] of the service or incident occurring. Critical incidents are documented within [specify timeframe].</w:t>
      </w:r>
    </w:p>
    <w:p>
      <w:pPr>
        <w:pStyle w:val="Heading3"/>
      </w:pPr>
      <w:r>
        <w:t xml:space="preserve">Responsible Party</w:t>
      </w:r>
    </w:p>
    <w:p>
      <w:pPr>
        <w:spacing w:after="160"/>
      </w:pPr>
      <w:r>
        <w:t xml:space="preserve">Executive Director/CEO, with legal counsel/compliance consultant review.</w:t>
      </w:r>
    </w:p>
    <w:p>
      <w:pPr>
        <w:pStyle w:val="Heading3"/>
      </w:pPr>
      <w:r>
        <w:t xml:space="preserve">Items Requiring Organization and Legal Counsel Input</w:t>
      </w:r>
    </w:p>
    <w:p>
      <w:pPr>
        <w:spacing w:after="160"/>
      </w:pPr>
      <w:r>
        <w:rPr>
          <w:i/>
          <w:iCs/>
          <w:color w:val="C00000"/>
        </w:rPr>
        <w:t xml:space="preserve">Before this section is finalized, route it to legal counsel/compliance support for the following: </w:t>
      </w:r>
      <w:r>
        <w:rPr>
          <w:i/>
          <w:iCs/>
          <w:color w:val="C00000"/>
        </w:rPr>
        <w:t xml:space="preserve">(1) specific subpoena/search warrant response steps; (2) record retention periods for clinical and administrative records (state-specific); (3) secure destruction method; (4) documentation entry timeframes; (5) designated records-control role; (6) electronic backup frequency.</w:t>
      </w:r>
    </w:p>
    <w:p>
      <w:pPr>
        <w:pStyle w:val="Heading2"/>
      </w:pPr>
      <w:r>
        <w:t xml:space="preserve">Policy 1.F — Financial Planning and Management</w:t>
      </w:r>
    </w:p>
    <w:p>
      <w:pPr>
        <w:pStyle w:val="Heading3"/>
      </w:pPr>
      <w:r>
        <w:t xml:space="preserve">Policy Statement</w:t>
      </w:r>
    </w:p>
    <w:p>
      <w:pPr>
        <w:spacing w:after="160"/>
      </w:pPr>
      <w:r>
        <w:t xml:space="preserve">The organization conducts fiscal management designed to support its mission, outcomes for persons served, and organizational performance objectives. The organization prepares an annual budget prior to the start of each fiscal year, monitors actual financial results against that budget on a monthly basis, implements written fiscal policies and internal controls, and, because it bills third-party payers, conducts a quarterly documented review of a representative sample of bills for accuracy.</w:t>
      </w:r>
    </w:p>
    <w:p>
      <w:pPr>
        <w:spacing w:after="160"/>
      </w:pPr>
      <w:r>
        <w:rPr>
          <w:b/>
          <w:bCs/>
        </w:rPr>
        <w:t xml:space="preserve">CARF Reference: </w:t>
      </w:r>
      <w:r>
        <w:t xml:space="preserve">Standards 1.F.1–1.F.6 (2026 Behavioral Health Standards Manual, Section 1.F, Financial Planning and Management)</w:t>
      </w:r>
    </w:p>
    <w:p>
      <w:pPr>
        <w:pStyle w:val="Heading3"/>
      </w:pPr>
      <w:r>
        <w:t xml:space="preserve">Procedure</w:t>
      </w:r>
    </w:p>
    <w:p>
      <w:pPr>
        <w:pStyle w:val="Heading3"/>
        <w:rPr>
          <w:sz w:val="22"/>
          <w:szCs w:val="22"/>
        </w:rPr>
      </w:pPr>
      <w:r>
        <w:rPr>
          <w:i/>
          <w:iCs/>
        </w:rPr>
        <w:t xml:space="preserve">1. Annual Budget Development</w:t>
      </w:r>
    </w:p>
    <w:p>
      <w:pPr>
        <w:spacing w:after="120"/>
      </w:pPr>
      <w:r>
        <w:rPr>
          <w:b/>
          <w:bCs/>
          <w:color w:val="C00000"/>
        </w:rPr>
        <w:t xml:space="preserve">Status: Formal budget process to be established. </w:t>
      </w:r>
      <w:r>
        <w:t xml:space="preserve">The organization does not yet prepare a formal written annual budget. The Executive Director/CEO is responsible for establishing this process beginning with the [specify upcoming fiscal year] budget.</w:t>
      </w:r>
    </w:p>
    <w:p>
      <w:pPr>
        <w:pStyle w:val="ListParagraph"/>
        <w:numPr>
          <w:ilvl w:val="0"/>
          <w:numId w:val="2"/>
        </w:numPr>
      </w:pPr>
      <w:r>
        <w:t xml:space="preserve">The Executive Director/CEO prepares a written annual budget prior to the start of each fiscal year (fiscal year defined as [specify, e.g., January 1–December 31 or other period]).</w:t>
      </w:r>
    </w:p>
    <w:p>
      <w:pPr>
        <w:pStyle w:val="ListParagraph"/>
        <w:numPr>
          <w:ilvl w:val="0"/>
          <w:numId w:val="2"/>
        </w:numPr>
      </w:pPr>
      <w:r>
        <w:t xml:space="preserve">The budget reflects: input from personnel and other stakeholders as appropriate; comparison to the prior year's actual performance; anticipated cash flow needs; and relevant external factors (e.g., reimbursement rate changes, regulatory changes).</w:t>
      </w:r>
    </w:p>
    <w:p>
      <w:pPr>
        <w:pStyle w:val="ListParagraph"/>
        <w:numPr>
          <w:ilvl w:val="0"/>
          <w:numId w:val="2"/>
        </w:numPr>
      </w:pPr>
      <w:r>
        <w:t xml:space="preserve">The budget documents reasonable projections of revenues, expenses, and any capital expenditures, and is approved by the Executive Director/CEO prior to the start of the fiscal year. If a key funding source's budget is not finalized in time, the organization may adopt a provisional budget pending final approval.</w:t>
      </w:r>
    </w:p>
    <w:p>
      <w:pPr>
        <w:pStyle w:val="ListParagraph"/>
        <w:numPr>
          <w:ilvl w:val="0"/>
          <w:numId w:val="2"/>
        </w:numPr>
      </w:pPr>
      <w:r>
        <w:t xml:space="preserve">The approved budget is shared, as appropriate, with personnel and other stakeholders.</w:t>
      </w:r>
    </w:p>
    <w:p>
      <w:pPr>
        <w:pStyle w:val="Heading3"/>
        <w:rPr>
          <w:sz w:val="22"/>
          <w:szCs w:val="22"/>
        </w:rPr>
      </w:pPr>
      <w:r>
        <w:rPr>
          <w:i/>
          <w:iCs/>
        </w:rPr>
        <w:t xml:space="preserve">2. Monitoring Financial Performance</w:t>
      </w:r>
    </w:p>
    <w:p>
      <w:pPr>
        <w:pStyle w:val="ListParagraph"/>
        <w:numPr>
          <w:ilvl w:val="0"/>
          <w:numId w:val="2"/>
        </w:numPr>
      </w:pPr>
      <w:r>
        <w:t xml:space="preserve">The Executive Director/CEO reviews actual financial results against the approved budget at least monthly.</w:t>
      </w:r>
    </w:p>
    <w:p>
      <w:pPr>
        <w:pStyle w:val="ListParagraph"/>
        <w:numPr>
          <w:ilvl w:val="0"/>
          <w:numId w:val="2"/>
        </w:numPr>
      </w:pPr>
      <w:r>
        <w:t xml:space="preserve">This monthly review identifies and documents: revenues and expenses; internal financial trends, challenges, opportunities, and relevant management information (e.g., billable vs. non-billable time, payer mix); and external factors such as reimbursement rate changes, market competition, or regulatory developments.</w:t>
      </w:r>
    </w:p>
    <w:p>
      <w:pPr>
        <w:pStyle w:val="ListParagraph"/>
        <w:numPr>
          <w:ilvl w:val="0"/>
          <w:numId w:val="2"/>
        </w:numPr>
      </w:pPr>
      <w:r>
        <w:t xml:space="preserve">Where the review identifies areas needing improvement, the Executive Director/CEO documents and implements corrective actions.</w:t>
      </w:r>
    </w:p>
    <w:p>
      <w:pPr>
        <w:pStyle w:val="ListParagraph"/>
        <w:numPr>
          <w:ilvl w:val="0"/>
          <w:numId w:val="2"/>
        </w:numPr>
      </w:pPr>
      <w:r>
        <w:t xml:space="preserve">Financial results are reported, as appropriate, to personnel and other stakeholders (e.g., summary financial updates at staff meetings). Persons served may be informed of the organization's general financial stability upon request, consistent with the organization's confidentiality obligations regarding proprietary financial information.</w:t>
      </w:r>
    </w:p>
    <w:p>
      <w:pPr>
        <w:pStyle w:val="ListParagraph"/>
        <w:numPr>
          <w:ilvl w:val="0"/>
          <w:numId w:val="2"/>
        </w:numPr>
      </w:pPr>
      <w:r>
        <w:t xml:space="preserve">Leadership reviews the organization's overall financial solvency as part of the quarterly policy review described in Policy 1.A, and develops a remediation plan if solvency concerns are identified.</w:t>
      </w:r>
    </w:p>
    <w:p>
      <w:pPr>
        <w:pStyle w:val="Heading3"/>
        <w:rPr>
          <w:sz w:val="22"/>
          <w:szCs w:val="22"/>
        </w:rPr>
      </w:pPr>
      <w:r>
        <w:rPr>
          <w:i/>
          <w:iCs/>
        </w:rPr>
        <w:t xml:space="preserve">3. Fiscal Policies and Internal Controls</w:t>
      </w:r>
    </w:p>
    <w:p>
      <w:pPr>
        <w:pStyle w:val="ListParagraph"/>
        <w:numPr>
          <w:ilvl w:val="0"/>
          <w:numId w:val="2"/>
        </w:numPr>
      </w:pPr>
      <w:r>
        <w:t xml:space="preserve">The organization implements written fiscal policies and internal controls establishing who has responsibility and authority for: purchasing, writing checks, making deposits, managing petty cash, use of organizational credit/debit cards, billing, and any investments or fundraising activity.</w:t>
      </w:r>
    </w:p>
    <w:p>
      <w:pPr>
        <w:pStyle w:val="ListParagraph"/>
        <w:numPr>
          <w:ilvl w:val="0"/>
          <w:numId w:val="2"/>
        </w:numPr>
      </w:pPr>
      <w:r>
        <w:t xml:space="preserve">[Placeholder — document the specific internal control structure: e.g., dual signatures for checks above a set dollar amount, separation of duties between billing and cash handling, who has check-signing authority.] The organization's accountant/bookkeeper is consulted to confirm these controls follow generally accepted accounting principles.</w:t>
      </w:r>
    </w:p>
    <w:p>
      <w:pPr>
        <w:pStyle w:val="ListParagraph"/>
        <w:numPr>
          <w:ilvl w:val="0"/>
          <w:numId w:val="2"/>
        </w:numPr>
      </w:pPr>
      <w:r>
        <w:t xml:space="preserve">All personnel with fiscal responsibilities receive initial training on these policies at the time of hire/assignment, and ongoing training thereafter (at minimum, whenever the policies are revised).</w:t>
      </w:r>
    </w:p>
    <w:p>
      <w:pPr>
        <w:pStyle w:val="Heading3"/>
        <w:rPr>
          <w:sz w:val="22"/>
          <w:szCs w:val="22"/>
        </w:rPr>
      </w:pPr>
      <w:r>
        <w:rPr>
          <w:i/>
          <w:iCs/>
        </w:rPr>
        <w:t xml:space="preserve">4. Billing Accuracy Review</w:t>
      </w:r>
    </w:p>
    <w:p>
      <w:pPr>
        <w:spacing w:after="120"/>
      </w:pPr>
      <w:r>
        <w:rPr>
          <w:b/>
          <w:bCs/>
        </w:rPr>
        <w:t xml:space="preserve">Applicable: </w:t>
      </w:r>
      <w:r>
        <w:t xml:space="preserve">the organization bills third-party payers (insurance, Medicaid, Medicare) for services, so this review is mandatory under Standard 1.F.6.</w:t>
      </w:r>
    </w:p>
    <w:p>
      <w:pPr>
        <w:pStyle w:val="ListParagraph"/>
        <w:numPr>
          <w:ilvl w:val="0"/>
          <w:numId w:val="2"/>
        </w:numPr>
      </w:pPr>
      <w:r>
        <w:t xml:space="preserve">At least quarterly, a trained individual ([specify role responsible, e.g., billing staff/bookkeeper]) reviews a representative sample of bills of persons served, comparing the dates, units, and types of services billed against the documented services actually provided.</w:t>
      </w:r>
    </w:p>
    <w:p>
      <w:pPr>
        <w:pStyle w:val="ListParagraph"/>
        <w:numPr>
          <w:ilvl w:val="0"/>
          <w:numId w:val="2"/>
        </w:numPr>
      </w:pPr>
      <w:r>
        <w:t xml:space="preserve">The review documents: whether bills reviewed were accurate; any trends identified; areas needing improvement; and corrective actions taken.</w:t>
      </w:r>
    </w:p>
    <w:p>
      <w:pPr>
        <w:pStyle w:val="ListParagraph"/>
        <w:numPr>
          <w:ilvl w:val="0"/>
          <w:numId w:val="2"/>
        </w:numPr>
      </w:pPr>
      <w:r>
        <w:t xml:space="preserve">The review is conducted more frequently than quarterly when billing/coding procedures change, new billing personnel are hired, new information systems are implemented, or following corrective training, to confirm the correction was effective.</w:t>
      </w:r>
    </w:p>
    <w:p>
      <w:pPr>
        <w:pStyle w:val="ListParagraph"/>
        <w:numPr>
          <w:ilvl w:val="0"/>
          <w:numId w:val="2"/>
        </w:numPr>
      </w:pPr>
      <w:r>
        <w:t xml:space="preserve">Results of the billing accuracy review are retained on file and reported to the Executive Director/CEO.</w:t>
      </w:r>
    </w:p>
    <w:p>
      <w:pPr>
        <w:pStyle w:val="Heading3"/>
        <w:rPr>
          <w:sz w:val="22"/>
          <w:szCs w:val="22"/>
        </w:rPr>
      </w:pPr>
      <w:r>
        <w:rPr>
          <w:i/>
          <w:iCs/>
        </w:rPr>
        <w:t xml:space="preserve">5. Fee Structures</w:t>
      </w:r>
    </w:p>
    <w:p>
      <w:pPr>
        <w:pStyle w:val="ListParagraph"/>
        <w:numPr>
          <w:ilvl w:val="0"/>
          <w:numId w:val="2"/>
        </w:numPr>
      </w:pPr>
      <w:r>
        <w:t xml:space="preserve">The organization maintains a written fee schedule identifying the basis for its fees, which is disclosed to persons served prior to or at the start of services, so they understand all fees for which they will be responsible.</w:t>
      </w:r>
    </w:p>
    <w:p>
      <w:pPr>
        <w:pStyle w:val="ListParagraph"/>
        <w:numPr>
          <w:ilvl w:val="0"/>
          <w:numId w:val="2"/>
        </w:numPr>
      </w:pPr>
      <w:r>
        <w:t xml:space="preserve">The Executive Director/CEO reviews the fee schedule at least annually, comparing it to prior fee levels, third-party/funder rate adjustments, and the local market, and modifies it as necessary. The date and outcome of this review is documented.</w:t>
      </w:r>
    </w:p>
    <w:p>
      <w:pPr>
        <w:pStyle w:val="Heading3"/>
        <w:rPr>
          <w:sz w:val="22"/>
          <w:szCs w:val="22"/>
        </w:rPr>
      </w:pPr>
      <w:r>
        <w:rPr>
          <w:i/>
          <w:iCs/>
        </w:rPr>
        <w:t xml:space="preserve">6. Independent Annual Financial Review or Audit</w:t>
      </w:r>
    </w:p>
    <w:p>
      <w:pPr>
        <w:pStyle w:val="ListParagraph"/>
        <w:numPr>
          <w:ilvl w:val="0"/>
          <w:numId w:val="2"/>
        </w:numPr>
      </w:pPr>
      <w:r>
        <w:t xml:space="preserve">The organization obtains an annual independent review or audit of its financial statements, conducted by a CPA who is independent of the organization (not the organization's regular bookkeeper/accountant, not a funding-source representative, and not affiliated with leadership).</w:t>
      </w:r>
    </w:p>
    <w:p>
      <w:pPr>
        <w:pStyle w:val="ListParagraph"/>
        <w:numPr>
          <w:ilvl w:val="0"/>
          <w:numId w:val="2"/>
        </w:numPr>
      </w:pPr>
      <w:r>
        <w:t xml:space="preserve">The Executive Director/CEO retains documentation of the results of each annual review/audit, including any recommendations, and documents management's response to those recommendations, including corrective actions taken or the rationale if no corrective action is taken.</w:t>
      </w:r>
    </w:p>
    <w:p>
      <w:pPr>
        <w:pStyle w:val="Heading3"/>
      </w:pPr>
      <w:r>
        <w:t xml:space="preserve">Responsible Party</w:t>
      </w:r>
    </w:p>
    <w:p>
      <w:pPr>
        <w:spacing w:after="160"/>
      </w:pPr>
      <w:r>
        <w:t xml:space="preserve">Executive Director/CEO.</w:t>
      </w:r>
    </w:p>
    <w:p>
      <w:pPr>
        <w:pStyle w:val="Heading3"/>
      </w:pPr>
      <w:r>
        <w:t xml:space="preserve">Items Requiring Organization Input</w:t>
      </w:r>
    </w:p>
    <w:p>
      <w:pPr>
        <w:spacing w:after="160"/>
      </w:pPr>
      <w:r>
        <w:rPr>
          <w:i/>
          <w:iCs/>
          <w:color w:val="C00000"/>
        </w:rPr>
        <w:t xml:space="preserve">The following must be finalized before this section is complete: </w:t>
      </w:r>
      <w:r>
        <w:rPr>
          <w:i/>
          <w:iCs/>
          <w:color w:val="C00000"/>
        </w:rPr>
        <w:t xml:space="preserve">(1) fiscal year start date; (2) specific internal control structure (signing authority, separation of duties); (3) who performs the quarterly billing accuracy review; (4) confirmation of controls with the organization's accountant; (5) name/firm of the independent CPA used for the annual review or audit.</w:t>
      </w:r>
    </w:p>
    <w:p>
      <w:pPr>
        <w:pStyle w:val="Heading2"/>
      </w:pPr>
      <w:r>
        <w:t xml:space="preserve">Policy 1.G — Risk Management</w:t>
      </w:r>
    </w:p>
    <w:p>
      <w:pPr>
        <w:pStyle w:val="Heading3"/>
      </w:pPr>
      <w:r>
        <w:t xml:space="preserve">Policy Statement</w:t>
      </w:r>
    </w:p>
    <w:p>
      <w:pPr>
        <w:spacing w:after="160"/>
      </w:pPr>
      <w:r>
        <w:t xml:space="preserve">The organization implements a written risk management plan that identifies, analyzes, and addresses loss exposures to its people, property, income, goodwill, and ability to accomplish its goals, and reviews that plan at least annually. The organization maintains an insurance package reviewed annually for adequacy, and implements written procedures governing media relations and social media communications.</w:t>
      </w:r>
    </w:p>
    <w:p>
      <w:pPr>
        <w:spacing w:after="160"/>
      </w:pPr>
      <w:r>
        <w:rPr>
          <w:b/>
          <w:bCs/>
        </w:rPr>
        <w:t xml:space="preserve">CARF Reference: </w:t>
      </w:r>
      <w:r>
        <w:t xml:space="preserve">Standards 1.G.1–1.G.3 (2026 Behavioral Health Standards Manual, Section 1.G, Risk Management). Note: per Changes in the 2026 Manual, Standard 1.G.4 (technology/data use policies) was relocated here from the prior Section 1.J and is addressed in Policy 1.A, Section 7 of this manual (AI) and the organization's technology/data policies; see also Policy 1.I, Section on cybersecurity training.</w:t>
      </w:r>
    </w:p>
    <w:p>
      <w:pPr>
        <w:pStyle w:val="Heading3"/>
      </w:pPr>
      <w:r>
        <w:t xml:space="preserve">Procedure</w:t>
      </w:r>
    </w:p>
    <w:p>
      <w:pPr>
        <w:pStyle w:val="Heading3"/>
        <w:rPr>
          <w:sz w:val="22"/>
          <w:szCs w:val="22"/>
        </w:rPr>
      </w:pPr>
      <w:r>
        <w:rPr>
          <w:i/>
          <w:iCs/>
        </w:rPr>
        <w:t xml:space="preserve">1. Risk Management Plan</w:t>
      </w:r>
    </w:p>
    <w:p>
      <w:pPr>
        <w:pStyle w:val="ListParagraph"/>
        <w:numPr>
          <w:ilvl w:val="0"/>
          <w:numId w:val="2"/>
        </w:numPr>
      </w:pPr>
      <w:r>
        <w:t xml:space="preserve">The Executive Director/CEO maintains a written risk management plan that: identifies loss exposures across the organization (e.g., funding changes, facility/grounds issues, security issues, internal procedural gaps, clinical/liability risk); analyzes the likelihood and severity of each identified exposure; identifies corrective actions to address each exposure; implements those actions; monitors whether the actions are reducing the risk as intended; and reports the results of risk-reduction actions to leadership.</w:t>
      </w:r>
    </w:p>
    <w:p>
      <w:pPr>
        <w:pStyle w:val="ListParagraph"/>
        <w:numPr>
          <w:ilvl w:val="0"/>
          <w:numId w:val="2"/>
        </w:numPr>
      </w:pPr>
      <w:r>
        <w:t xml:space="preserve">Risk reduction findings are incorporated into the organization's performance improvement activities (see Policy 1.M).</w:t>
      </w:r>
    </w:p>
    <w:p>
      <w:pPr>
        <w:pStyle w:val="ListParagraph"/>
        <w:numPr>
          <w:ilvl w:val="0"/>
          <w:numId w:val="2"/>
        </w:numPr>
      </w:pPr>
      <w:r>
        <w:t xml:space="preserve">The risk management plan is reviewed at least annually for continued relevance and updated as needed, in conjunction with the quarterly policy review described in Policy 1.A, Section 4.</w:t>
      </w:r>
    </w:p>
    <w:p>
      <w:pPr>
        <w:spacing w:after="160"/>
      </w:pPr>
      <w:r>
        <w:rPr>
          <w:i/>
          <w:iCs/>
          <w:color w:val="C00000"/>
        </w:rPr>
        <w:t xml:space="preserve">[Placeholder — the organization's initial risk register/exposure list should be developed and attached as an appendix to this policy once drafted; this typically includes, at minimum: clinical/safety risk, facilities risk, financial/funding risk, cybersecurity/data risk, and reputational risk.]</w:t>
      </w:r>
    </w:p>
    <w:p>
      <w:pPr>
        <w:pStyle w:val="Heading3"/>
        <w:rPr>
          <w:sz w:val="22"/>
          <w:szCs w:val="22"/>
        </w:rPr>
      </w:pPr>
      <w:r>
        <w:rPr>
          <w:i/>
          <w:iCs/>
        </w:rPr>
        <w:t xml:space="preserve">2. Insurance</w:t>
      </w:r>
    </w:p>
    <w:p>
      <w:pPr>
        <w:pStyle w:val="ListParagraph"/>
        <w:numPr>
          <w:ilvl w:val="0"/>
          <w:numId w:val="2"/>
        </w:numPr>
      </w:pPr>
      <w:r>
        <w:t xml:space="preserve">The organization maintains an insurance package including, at minimum, general liability and property coverage, reviewed at least annually for adequacy with the assistance of a knowledgeable insurance broker or advisor.</w:t>
      </w:r>
    </w:p>
    <w:p>
      <w:pPr>
        <w:pStyle w:val="ListParagraph"/>
        <w:numPr>
          <w:ilvl w:val="0"/>
          <w:numId w:val="2"/>
        </w:numPr>
      </w:pPr>
      <w:r>
        <w:t xml:space="preserve">[Placeholder — confirm full scope of current coverage against the standard's suggested list: vehicles, workers' compensation, directors' and officers' liability, errors and omissions, cybersecurity, property, and casualty. Identify and close any gaps with the organization's insurance broker.]</w:t>
      </w:r>
    </w:p>
    <w:p>
      <w:pPr>
        <w:pStyle w:val="ListParagraph"/>
        <w:numPr>
          <w:ilvl w:val="0"/>
          <w:numId w:val="2"/>
        </w:numPr>
      </w:pPr>
      <w:r>
        <w:t xml:space="preserve">The annual insurance review and any resulting coverage changes are documented and retained on file.</w:t>
      </w:r>
    </w:p>
    <w:p>
      <w:pPr>
        <w:pStyle w:val="Heading3"/>
        <w:rPr>
          <w:sz w:val="22"/>
          <w:szCs w:val="22"/>
        </w:rPr>
      </w:pPr>
      <w:r>
        <w:rPr>
          <w:i/>
          <w:iCs/>
        </w:rPr>
        <w:t xml:space="preserve">3. Media and Social Media Communications</w:t>
      </w:r>
    </w:p>
    <w:p>
      <w:pPr>
        <w:pStyle w:val="ListParagraph"/>
        <w:numPr>
          <w:ilvl w:val="0"/>
          <w:numId w:val="2"/>
        </w:numPr>
      </w:pPr>
      <w:r>
        <w:t xml:space="preserve">Only the Executive Director/CEO, or personnel they specifically designate, may speak to media on behalf of the organization. All media inquiries are directed to the Executive Director/CEO.</w:t>
      </w:r>
    </w:p>
    <w:p>
      <w:pPr>
        <w:pStyle w:val="ListParagraph"/>
        <w:numPr>
          <w:ilvl w:val="0"/>
          <w:numId w:val="2"/>
        </w:numPr>
      </w:pPr>
      <w:r>
        <w:t xml:space="preserve">[Placeholder — confirm after-hours media contact procedure and any press release process.]</w:t>
      </w:r>
    </w:p>
    <w:p>
      <w:pPr>
        <w:pStyle w:val="ListParagraph"/>
        <w:numPr>
          <w:ilvl w:val="0"/>
          <w:numId w:val="2"/>
        </w:numPr>
      </w:pPr>
      <w:r>
        <w:t xml:space="preserve">The organization's written social media procedure addresses: which platforms are covered; who has authority to post or modify content on behalf of the organization; privacy settings; parameters for communicating with persons served and prospective persons served on social platforms; protection of health information (no identification of persons served without written authorization); and how violations of the procedure are addressed.</w:t>
      </w:r>
    </w:p>
    <w:p>
      <w:pPr>
        <w:pStyle w:val="ListParagraph"/>
        <w:numPr>
          <w:ilvl w:val="0"/>
          <w:numId w:val="2"/>
        </w:numPr>
      </w:pPr>
      <w:r>
        <w:t xml:space="preserve">All personnel receive training on the social media procedure during orientation and review it as part of annual ethics training (see Policy 1.A, Section 6).</w:t>
      </w:r>
    </w:p>
    <w:p>
      <w:pPr>
        <w:pStyle w:val="Heading3"/>
        <w:rPr>
          <w:sz w:val="22"/>
          <w:szCs w:val="22"/>
        </w:rPr>
      </w:pPr>
      <w:r>
        <w:rPr>
          <w:i/>
          <w:iCs/>
        </w:rPr>
        <w:t xml:space="preserve">4. Technology and Data Risk Management</w:t>
      </w:r>
    </w:p>
    <w:p>
      <w:pPr>
        <w:spacing w:after="120"/>
      </w:pPr>
      <w:r>
        <w:rPr>
          <w:b/>
          <w:bCs/>
          <w:color w:val="C00000"/>
        </w:rPr>
        <w:t xml:space="preserve">Status: existing IT policies/support in place. </w:t>
      </w:r>
      <w:r>
        <w:t xml:space="preserve">This policy incorporates the organization's existing technology and data security program by reference. The items below confirm that the existing program addresses each required area; any gaps identified should be closed with the organization's IT support provider.</w:t>
      </w:r>
    </w:p>
    <w:p>
      <w:pPr>
        <w:spacing w:after="120"/>
      </w:pPr>
      <w:r>
        <w:t xml:space="preserve">The organization's technology and data policies and procedures (maintained separately and incorporated by reference) address:</w:t>
      </w:r>
    </w:p>
    <w:p>
      <w:pPr>
        <w:pStyle w:val="ListParagraph"/>
        <w:numPr>
          <w:ilvl w:val="0"/>
          <w:numId w:val="3"/>
        </w:numPr>
      </w:pPr>
      <w:r>
        <w:t xml:space="preserve">Acceptable use of organization-issued technology (computers, tablets, phones, USB drives) and of email, internet, and information systems</w:t>
      </w:r>
    </w:p>
    <w:p>
      <w:pPr>
        <w:pStyle w:val="ListParagraph"/>
        <w:numPr>
          <w:ilvl w:val="0"/>
          <w:numId w:val="3"/>
        </w:numPr>
      </w:pPr>
      <w:r>
        <w:t xml:space="preserve">Data backup and recovery procedures</w:t>
      </w:r>
    </w:p>
    <w:p>
      <w:pPr>
        <w:pStyle w:val="ListParagraph"/>
        <w:numPr>
          <w:ilvl w:val="0"/>
          <w:numId w:val="3"/>
        </w:numPr>
      </w:pPr>
      <w:r>
        <w:t xml:space="preserve">Business continuity/disaster recovery procedures for technology and data assets</w:t>
      </w:r>
    </w:p>
    <w:p>
      <w:pPr>
        <w:pStyle w:val="ListParagraph"/>
        <w:numPr>
          <w:ilvl w:val="0"/>
          <w:numId w:val="3"/>
        </w:numPr>
      </w:pPr>
      <w:r>
        <w:t xml:space="preserve">Security, including: access management (authorization/de-authorization of user access); audit capabilities/access logs; data export and transfer rules; decommissioning of hardware and secure data destruction; protection from malicious activity (malware, viruses); remote access and support procedures; and update/configuration/change management practices</w:t>
      </w:r>
    </w:p>
    <w:p>
      <w:pPr>
        <w:spacing w:after="160" w:before="120"/>
      </w:pPr>
      <w:r>
        <w:rPr>
          <w:i/>
          <w:iCs/>
          <w:color w:val="C00000"/>
        </w:rPr>
        <w:t xml:space="preserve">[Placeholder — confirm with the organization's IT support provider that each item above is documented in the existing technology policy, and attach or reference that policy here. If any item is not currently addressed, it should be added before this section is finalized.]</w:t>
      </w:r>
    </w:p>
    <w:p>
      <w:pPr>
        <w:pStyle w:val="Heading3"/>
        <w:rPr>
          <w:sz w:val="22"/>
          <w:szCs w:val="22"/>
        </w:rPr>
      </w:pPr>
      <w:r>
        <w:rPr>
          <w:i/>
          <w:iCs/>
        </w:rPr>
        <w:t xml:space="preserve">5. Review of Contracted Services</w:t>
      </w:r>
    </w:p>
    <w:p>
      <w:pPr>
        <w:spacing w:after="120"/>
      </w:pPr>
      <w:r>
        <w:rPr>
          <w:b/>
          <w:bCs/>
          <w:color w:val="C00000"/>
        </w:rPr>
        <w:t xml:space="preserve">Status: applicable only if any part of an accredited program's services are delivered under contract with another organization or individual (e.g., contracted clinicians, contracted transportation). </w:t>
      </w:r>
      <w:r>
        <w:t xml:space="preserve">[Placeholder — confirm whether this applies; if Upstar uses no contracted service providers for accredited program services, document that this standard is not applicable.]</w:t>
      </w:r>
    </w:p>
    <w:p>
      <w:pPr>
        <w:pStyle w:val="ListParagraph"/>
        <w:numPr>
          <w:ilvl w:val="0"/>
          <w:numId w:val="2"/>
        </w:numPr>
      </w:pPr>
      <w:r>
        <w:t xml:space="preserve">If applicable, the Executive Director/CEO (or designee) conducts a documented annual review of each contracted service provider that: assesses the contractor's performance against the scope and requirements of their contract; confirms the contractor follows all applicable organizational policies and procedures; and confirms the contractor's services conform to applicable CARF standards.</w:t>
      </w:r>
    </w:p>
    <w:p>
      <w:pPr>
        <w:pStyle w:val="Heading3"/>
      </w:pPr>
      <w:r>
        <w:t xml:space="preserve">Responsible Party</w:t>
      </w:r>
    </w:p>
    <w:p>
      <w:pPr>
        <w:spacing w:after="160"/>
      </w:pPr>
      <w:r>
        <w:t xml:space="preserve">Executive Director/CEO, in coordination with the organization's IT support provider.</w:t>
      </w:r>
    </w:p>
    <w:p>
      <w:pPr>
        <w:pStyle w:val="Heading3"/>
      </w:pPr>
      <w:r>
        <w:t xml:space="preserve">Items Requiring Organization Input</w:t>
      </w:r>
    </w:p>
    <w:p>
      <w:pPr>
        <w:spacing w:after="160"/>
      </w:pPr>
      <w:r>
        <w:rPr>
          <w:i/>
          <w:iCs/>
          <w:color w:val="C00000"/>
        </w:rPr>
        <w:t xml:space="preserve">The following must be finalized before this section is complete: </w:t>
      </w:r>
      <w:r>
        <w:rPr>
          <w:i/>
          <w:iCs/>
          <w:color w:val="C00000"/>
        </w:rPr>
        <w:t xml:space="preserve">(1) initial risk register/exposure list; (2) full insurance coverage confirmation against suggested coverage types (with broker); (3) after-hours media contact procedure; (4) specific social media platforms covered and posting authority; (5) confirmation that the existing IT policy addresses all listed technology/data risk areas; (6) whether the organization currently uses any contracted service providers for accredited program services.</w:t>
      </w:r>
    </w:p>
    <w:p>
      <w:pPr>
        <w:pStyle w:val="Heading2"/>
      </w:pPr>
      <w:r>
        <w:t xml:space="preserve">Policy 1.H — Health and Safety (Part 1: General Safety, Training, and Emergency Procedures)</w:t>
      </w:r>
    </w:p>
    <w:p>
      <w:pPr>
        <w:spacing w:after="160"/>
      </w:pPr>
      <w:r>
        <w:rPr>
          <w:b/>
          <w:bCs/>
        </w:rPr>
        <w:t xml:space="preserve">Applicability note: </w:t>
      </w:r>
      <w:r>
        <w:t xml:space="preserve">Upstar Mental Health Services operates from one or more physical office/facility locations, so the full Health and Safety standard applies without the exemptions available to fully virtual or home-based-only programs. This policy is presented in parts due to its length; this part covers general safety, personnel/persons-served training, and written emergency procedures. Subsequent parts will cover evacuation, drills, infection control, and other remaining elements of Standard 1.H.</w:t>
      </w:r>
    </w:p>
    <w:p>
      <w:pPr>
        <w:pStyle w:val="Heading3"/>
      </w:pPr>
      <w:r>
        <w:t xml:space="preserve">Policy Statement</w:t>
      </w:r>
    </w:p>
    <w:p>
      <w:pPr>
        <w:spacing w:after="160"/>
      </w:pPr>
      <w:r>
        <w:t xml:space="preserve">The organization maintains ongoing attention to the health and safety of its environment and implements written procedures to promote the safety of persons served and personnel. Persons served receive education to reduce identified physical risks. Personnel receive documented competency-based training at orientation and at least annually thereafter on health and safety practices, identification of unsafe environmental factors, emergency procedures, evacuation procedures, identification and reporting of critical incidents, medication management (if applicable), reducing physical risks, and workplace violence. The organization maintains written emergency procedures for fires, bomb threats, natural disasters, utility failures, medical emergencies, and violent or threatening situations.</w:t>
      </w:r>
    </w:p>
    <w:p>
      <w:pPr>
        <w:spacing w:after="160"/>
      </w:pPr>
      <w:r>
        <w:rPr>
          <w:b/>
          <w:bCs/>
        </w:rPr>
        <w:t xml:space="preserve">CARF Reference: </w:t>
      </w:r>
      <w:r>
        <w:t xml:space="preserve">Standards 1.H.1–1.H.5 (2026 Behavioral Health Standards Manual, Section 1.H, Health and Safety)</w:t>
      </w:r>
    </w:p>
    <w:p>
      <w:pPr>
        <w:pStyle w:val="Heading3"/>
      </w:pPr>
      <w:r>
        <w:t xml:space="preserve">Procedure</w:t>
      </w:r>
    </w:p>
    <w:p>
      <w:pPr>
        <w:pStyle w:val="Heading3"/>
        <w:rPr>
          <w:sz w:val="22"/>
          <w:szCs w:val="22"/>
        </w:rPr>
      </w:pPr>
      <w:r>
        <w:rPr>
          <w:i/>
          <w:iCs/>
        </w:rPr>
        <w:t xml:space="preserve">1. General Safety Attention</w:t>
      </w:r>
    </w:p>
    <w:p>
      <w:pPr>
        <w:pStyle w:val="ListParagraph"/>
        <w:numPr>
          <w:ilvl w:val="0"/>
          <w:numId w:val="2"/>
        </w:numPr>
      </w:pPr>
      <w:r>
        <w:t xml:space="preserve">The Executive Director/CEO designates [specify role, e.g., a Safety Officer or the Executive Director/CEO directly] as responsible for implementation of the organization's health and safety procedures across all locations.</w:t>
      </w:r>
    </w:p>
    <w:p>
      <w:pPr>
        <w:pStyle w:val="ListParagraph"/>
        <w:numPr>
          <w:ilvl w:val="0"/>
          <w:numId w:val="2"/>
        </w:numPr>
      </w:pPr>
      <w:r>
        <w:t xml:space="preserve">The designated individual maintains ongoing attention to safe practices and reduction of health and safety risks in the environment, considering applicable health and safety requirements of local and other governmental authorities. Daily maintenance tasks need not be separately documented.</w:t>
      </w:r>
    </w:p>
    <w:p>
      <w:pPr>
        <w:pStyle w:val="Heading3"/>
        <w:rPr>
          <w:sz w:val="22"/>
          <w:szCs w:val="22"/>
        </w:rPr>
      </w:pPr>
      <w:r>
        <w:rPr>
          <w:i/>
          <w:iCs/>
        </w:rPr>
        <w:t xml:space="preserve">2. Education for Persons Served</w:t>
      </w:r>
    </w:p>
    <w:p>
      <w:pPr>
        <w:pStyle w:val="ListParagraph"/>
        <w:numPr>
          <w:ilvl w:val="0"/>
          <w:numId w:val="2"/>
        </w:numPr>
      </w:pPr>
      <w:r>
        <w:t xml:space="preserve">When a safety concern specific to a person served is identified, personnel provide that person with information and training designed to reduce the identified risk, documented in the person's individual record.</w:t>
      </w:r>
    </w:p>
    <w:p>
      <w:pPr>
        <w:pStyle w:val="Heading3"/>
        <w:rPr>
          <w:sz w:val="22"/>
          <w:szCs w:val="22"/>
        </w:rPr>
      </w:pPr>
      <w:r>
        <w:rPr>
          <w:i/>
          <w:iCs/>
        </w:rPr>
        <w:t xml:space="preserve">3. Personnel Training</w:t>
      </w:r>
    </w:p>
    <w:p>
      <w:pPr>
        <w:spacing w:after="120"/>
      </w:pPr>
      <w:r>
        <w:t xml:space="preserve">All personnel receive documented, competency-based training at new-employee orientation, and at least annually thereafter, covering:</w:t>
      </w:r>
    </w:p>
    <w:p>
      <w:pPr>
        <w:pStyle w:val="ListParagraph"/>
        <w:numPr>
          <w:ilvl w:val="0"/>
          <w:numId w:val="3"/>
        </w:numPr>
      </w:pPr>
      <w:r>
        <w:t xml:space="preserve">Health and safety practices</w:t>
      </w:r>
    </w:p>
    <w:p>
      <w:pPr>
        <w:pStyle w:val="ListParagraph"/>
        <w:numPr>
          <w:ilvl w:val="0"/>
          <w:numId w:val="3"/>
        </w:numPr>
      </w:pPr>
      <w:r>
        <w:t xml:space="preserve">Identification of unsafe environmental factors</w:t>
      </w:r>
    </w:p>
    <w:p>
      <w:pPr>
        <w:pStyle w:val="ListParagraph"/>
        <w:numPr>
          <w:ilvl w:val="0"/>
          <w:numId w:val="3"/>
        </w:numPr>
      </w:pPr>
      <w:r>
        <w:t xml:space="preserve">Emergency procedures and evacuation procedures</w:t>
      </w:r>
    </w:p>
    <w:p>
      <w:pPr>
        <w:pStyle w:val="ListParagraph"/>
        <w:numPr>
          <w:ilvl w:val="0"/>
          <w:numId w:val="3"/>
        </w:numPr>
      </w:pPr>
      <w:r>
        <w:t xml:space="preserve">Identification and reporting of critical incidents</w:t>
      </w:r>
    </w:p>
    <w:p>
      <w:pPr>
        <w:pStyle w:val="ListParagraph"/>
        <w:numPr>
          <w:ilvl w:val="0"/>
          <w:numId w:val="3"/>
        </w:numPr>
      </w:pPr>
      <w:r>
        <w:t xml:space="preserve">Medication management, if applicable to the person's role</w:t>
      </w:r>
    </w:p>
    <w:p>
      <w:pPr>
        <w:pStyle w:val="ListParagraph"/>
        <w:numPr>
          <w:ilvl w:val="0"/>
          <w:numId w:val="3"/>
        </w:numPr>
      </w:pPr>
      <w:r>
        <w:t xml:space="preserve">Reducing physical risks</w:t>
      </w:r>
    </w:p>
    <w:p>
      <w:pPr>
        <w:pStyle w:val="ListParagraph"/>
        <w:numPr>
          <w:ilvl w:val="0"/>
          <w:numId w:val="3"/>
        </w:numPr>
      </w:pPr>
      <w:r>
        <w:t xml:space="preserve">Workplace violence, including recognition of bullying, intimidation, sexual harassment, disruptive or assaultive behavior, and unauthorized possession or use of a weapon, and the organization's response procedures</w:t>
      </w:r>
    </w:p>
    <w:p>
      <w:pPr>
        <w:spacing w:after="160" w:before="120"/>
      </w:pPr>
      <w:r>
        <w:t xml:space="preserve">[Placeholder — designate who develops and delivers this training (e.g., the Executive Director/CEO, a clinical supervisor, or an outside trainer), and confirm the specific training method(s) used: e.g., orientation/education sessions, tabletop exercises, walk-through or evacuation drills.]</w:t>
      </w:r>
    </w:p>
    <w:p>
      <w:pPr>
        <w:pStyle w:val="Heading3"/>
        <w:rPr>
          <w:sz w:val="22"/>
          <w:szCs w:val="22"/>
        </w:rPr>
      </w:pPr>
      <w:r>
        <w:rPr>
          <w:i/>
          <w:iCs/>
        </w:rPr>
        <w:t xml:space="preserve">4. Written Emergency Procedures</w:t>
      </w:r>
    </w:p>
    <w:p>
      <w:pPr>
        <w:spacing w:after="120"/>
      </w:pPr>
      <w:r>
        <w:t xml:space="preserve">The organization maintains written emergency procedures addressing, at minimum: fires; bomb threats; natural disasters relevant to the organization's geographic location; utility failures; medical emergencies; and violent or other threatening situations. Each procedure addresses, as applicable:</w:t>
      </w:r>
    </w:p>
    <w:p>
      <w:pPr>
        <w:pStyle w:val="ListParagraph"/>
        <w:numPr>
          <w:ilvl w:val="0"/>
          <w:numId w:val="3"/>
        </w:numPr>
      </w:pPr>
      <w:r>
        <w:t xml:space="preserve">When evacuation is appropriate, complete evacuation from the facility, and when sheltering in place is appropriate instead</w:t>
      </w:r>
    </w:p>
    <w:p>
      <w:pPr>
        <w:pStyle w:val="ListParagraph"/>
        <w:numPr>
          <w:ilvl w:val="0"/>
          <w:numId w:val="3"/>
        </w:numPr>
      </w:pPr>
      <w:r>
        <w:t xml:space="preserve">The safety of, and accounting for, all persons involved</w:t>
      </w:r>
    </w:p>
    <w:p>
      <w:pPr>
        <w:pStyle w:val="ListParagraph"/>
        <w:numPr>
          <w:ilvl w:val="0"/>
          <w:numId w:val="3"/>
        </w:numPr>
      </w:pPr>
      <w:r>
        <w:t xml:space="preserve">Temporary shelter, when applicable</w:t>
      </w:r>
    </w:p>
    <w:p>
      <w:pPr>
        <w:pStyle w:val="ListParagraph"/>
        <w:numPr>
          <w:ilvl w:val="0"/>
          <w:numId w:val="3"/>
        </w:numPr>
      </w:pPr>
      <w:r>
        <w:t xml:space="preserve">Identification and continuation of essential services</w:t>
      </w:r>
    </w:p>
    <w:p>
      <w:pPr>
        <w:pStyle w:val="ListParagraph"/>
        <w:numPr>
          <w:ilvl w:val="0"/>
          <w:numId w:val="3"/>
        </w:numPr>
      </w:pPr>
      <w:r>
        <w:t xml:space="preserve">Emergency phone numbers and notification of appropriate emergency authorities</w:t>
      </w:r>
    </w:p>
    <w:p>
      <w:pPr>
        <w:pStyle w:val="ListParagraph"/>
        <w:numPr>
          <w:ilvl w:val="0"/>
          <w:numId w:val="3"/>
        </w:numPr>
      </w:pPr>
      <w:r>
        <w:t xml:space="preserve">Communication with relevant stakeholders (including procedures for sustained emergencies, such as designated communication liaisons or methods for reaching personnel, persons served, and families)</w:t>
      </w:r>
    </w:p>
    <w:p>
      <w:pPr>
        <w:spacing w:after="160" w:before="120"/>
      </w:pPr>
      <w:r>
        <w:rPr>
          <w:i/>
          <w:iCs/>
          <w:color w:val="C00000"/>
        </w:rPr>
        <w:t xml:space="preserve">These written procedures satisfy applicable requirements of local authorities and practices appropriate to the organization's locale. [Placeholder — the organization's specific emergency procedures for each scenario above should be developed (or, if already in place, attached as an appendix) and referenced here; this is operational detail specific to each facility location and is beyond what this policy framework can specify generically.]</w:t>
      </w:r>
    </w:p>
    <w:p>
      <w:pPr>
        <w:pStyle w:val="Heading3"/>
      </w:pPr>
      <w:r>
        <w:t xml:space="preserve">Responsible Party</w:t>
      </w:r>
    </w:p>
    <w:p>
      <w:pPr>
        <w:spacing w:after="160"/>
      </w:pPr>
      <w:r>
        <w:t xml:space="preserve">Executive Director/CEO, or designated Safety Officer.</w:t>
      </w:r>
    </w:p>
    <w:p>
      <w:pPr>
        <w:pStyle w:val="Heading3"/>
      </w:pPr>
      <w:r>
        <w:t xml:space="preserve">Items Requiring Organization Input</w:t>
      </w:r>
    </w:p>
    <w:p>
      <w:pPr>
        <w:spacing w:after="160"/>
      </w:pPr>
      <w:r>
        <w:rPr>
          <w:i/>
          <w:iCs/>
          <w:color w:val="C00000"/>
        </w:rPr>
        <w:t xml:space="preserve">The following must be finalized before this section is complete: </w:t>
      </w:r>
      <w:r>
        <w:rPr>
          <w:i/>
          <w:iCs/>
          <w:color w:val="C00000"/>
        </w:rPr>
        <w:t xml:space="preserve">(1) designated Safety Officer/responsible role; (2) who develops/delivers required training and which training methods are used; (3) the organization's specific written emergency procedures for each required scenario (fire, bomb threat, natural disaster, utility failure, medical emergency, violent/threatening situations), specific to each facility location.</w:t>
      </w:r>
    </w:p>
    <w:p>
      <w:pPr>
        <w:pStyle w:val="Heading2"/>
      </w:pPr>
      <w:r>
        <w:t xml:space="preserve">Policy 1.H — Health and Safety (Part 2: Evacuation, Drills, Off-Site Safety, First Aid, and Critical Incidents)</w:t>
      </w:r>
    </w:p>
    <w:p>
      <w:pPr>
        <w:spacing w:after="160"/>
      </w:pPr>
      <w:r>
        <w:rPr>
          <w:b/>
          <w:bCs/>
        </w:rPr>
        <w:t xml:space="preserve">Applicability note: </w:t>
      </w:r>
      <w:r>
        <w:t xml:space="preserve">Upstar Mental Health Services regularly provides community-based services in locations it does not own or control, so Standard 1.H.8 (off-site service safety) fully applies in addition to the standards covering owned/leased locations.</w:t>
      </w:r>
    </w:p>
    <w:p>
      <w:pPr>
        <w:pStyle w:val="Heading3"/>
      </w:pPr>
      <w:r>
        <w:t xml:space="preserve">Policy Statement</w:t>
      </w:r>
    </w:p>
    <w:p>
      <w:pPr>
        <w:spacing w:after="160"/>
      </w:pPr>
      <w:r>
        <w:t xml:space="preserve">The organization maintains accessible, understandable evacuation routes at each owned/leased location and tests each written emergency procedure at least annually, with results analyzed and documented. The organization implements written procedures addressing safety at community-based and other off-site service delivery locations. The organization maintains ready access to first aid expertise, equipment, and supplies, and relevant emergency information on persons served and personnel, at each location. The organization implements written procedures for identifying, reporting, documenting, and responding to critical incidents, and conducts at least an annual written analysis of all critical incidents.</w:t>
      </w:r>
    </w:p>
    <w:p>
      <w:pPr>
        <w:spacing w:after="160"/>
      </w:pPr>
      <w:r>
        <w:rPr>
          <w:b/>
          <w:bCs/>
        </w:rPr>
        <w:t xml:space="preserve">CARF Reference: </w:t>
      </w:r>
      <w:r>
        <w:t xml:space="preserve">Standards 1.H.6–1.H.11 (2026 Behavioral Health Standards Manual, Section 1.H, Health and Safety)</w:t>
      </w:r>
    </w:p>
    <w:p>
      <w:pPr>
        <w:pStyle w:val="Heading3"/>
      </w:pPr>
      <w:r>
        <w:t xml:space="preserve">Procedure</w:t>
      </w:r>
    </w:p>
    <w:p>
      <w:pPr>
        <w:pStyle w:val="Heading3"/>
        <w:rPr>
          <w:sz w:val="22"/>
          <w:szCs w:val="22"/>
        </w:rPr>
      </w:pPr>
      <w:r>
        <w:rPr>
          <w:i/>
          <w:iCs/>
        </w:rPr>
        <w:t xml:space="preserve">1. Evacuation Routes</w:t>
      </w:r>
    </w:p>
    <w:p>
      <w:pPr>
        <w:pStyle w:val="ListParagraph"/>
        <w:numPr>
          <w:ilvl w:val="0"/>
          <w:numId w:val="2"/>
        </w:numPr>
      </w:pPr>
      <w:r>
        <w:t xml:space="preserve">At each owned/leased location, evacuation routes are clearly visible and known, with adequate lighting and free of obstructions. Routes lead only to locations from which emergency personnel can reach evacuees.</w:t>
      </w:r>
    </w:p>
    <w:p>
      <w:pPr>
        <w:pStyle w:val="ListParagraph"/>
        <w:numPr>
          <w:ilvl w:val="0"/>
          <w:numId w:val="2"/>
        </w:numPr>
      </w:pPr>
      <w:r>
        <w:t xml:space="preserve">[Placeholder — confirm signage approach at each facility (e.g., posted Exit signs, diagrams) and accessibility considerations for persons served and personnel with mobility, cognitive, or sensory needs.]</w:t>
      </w:r>
    </w:p>
    <w:p>
      <w:pPr>
        <w:pStyle w:val="Heading3"/>
        <w:rPr>
          <w:sz w:val="22"/>
          <w:szCs w:val="22"/>
        </w:rPr>
      </w:pPr>
      <w:r>
        <w:rPr>
          <w:i/>
          <w:iCs/>
        </w:rPr>
        <w:t xml:space="preserve">2. Testing of Emergency Procedures</w:t>
      </w:r>
    </w:p>
    <w:p>
      <w:pPr>
        <w:pStyle w:val="ListParagraph"/>
        <w:numPr>
          <w:ilvl w:val="0"/>
          <w:numId w:val="2"/>
        </w:numPr>
      </w:pPr>
      <w:r>
        <w:t xml:space="preserve">Each written emergency procedure (fire, bomb threat, natural disaster, utility failure, medical emergency, violent/threatening situations) is tested, unannounced, at least annually, at each applicable location and on each shift, including a complete actual or simulated physical evacuation drill where relevant. (This standard does not apply to services provided in private homes or apartments.)</w:t>
      </w:r>
    </w:p>
    <w:p>
      <w:pPr>
        <w:pStyle w:val="ListParagraph"/>
        <w:numPr>
          <w:ilvl w:val="0"/>
          <w:numId w:val="2"/>
        </w:numPr>
      </w:pPr>
      <w:r>
        <w:t xml:space="preserve">Each test is analyzed in writing for: areas needing improvement; actions to address those improvements; implementation of the actions; necessary additional education/training of personnel; and whether the actions taken achieved the intended result.</w:t>
      </w:r>
    </w:p>
    <w:p>
      <w:pPr>
        <w:pStyle w:val="ListParagraph"/>
        <w:numPr>
          <w:ilvl w:val="0"/>
          <w:numId w:val="2"/>
        </w:numPr>
      </w:pPr>
      <w:r>
        <w:t xml:space="preserve">[Placeholder — designate who is responsible for scheduling and conducting drills (e.g., Safety Officer) and confirm a documentation format (drill log) for recording date, shift, location, and analysis.]</w:t>
      </w:r>
    </w:p>
    <w:p>
      <w:pPr>
        <w:pStyle w:val="Heading3"/>
        <w:rPr>
          <w:sz w:val="22"/>
          <w:szCs w:val="22"/>
        </w:rPr>
      </w:pPr>
      <w:r>
        <w:rPr>
          <w:i/>
          <w:iCs/>
        </w:rPr>
        <w:t xml:space="preserve">3. Safety at Off-Site / Community-Based Service Locations</w:t>
      </w:r>
    </w:p>
    <w:p>
      <w:pPr>
        <w:spacing w:after="120"/>
      </w:pPr>
      <w:r>
        <w:rPr>
          <w:b/>
          <w:bCs/>
        </w:rPr>
        <w:t xml:space="preserve">Applicable: </w:t>
      </w:r>
      <w:r>
        <w:t xml:space="preserve">Upstar regularly delivers services in locations it does not own, lease, or control (e.g., clients' homes, community settings).</w:t>
      </w:r>
    </w:p>
    <w:p>
      <w:pPr>
        <w:pStyle w:val="ListParagraph"/>
        <w:numPr>
          <w:ilvl w:val="0"/>
          <w:numId w:val="2"/>
        </w:numPr>
      </w:pPr>
      <w:r>
        <w:t xml:space="preserve">Before or at the start of providing services at any off-site location, personnel consider: any emergency procedures already in place at that location (e.g., a separately licensed facility's own fire/emergency plan); the physical environment and accessibility of the location; basic needs in the event of an emergency; actions to be taken in the event of an emergency at that location; and how personnel will communicate decisions to continue or discontinue services during an incident.</w:t>
      </w:r>
    </w:p>
    <w:p>
      <w:pPr>
        <w:pStyle w:val="ListParagraph"/>
        <w:numPr>
          <w:ilvl w:val="0"/>
          <w:numId w:val="2"/>
        </w:numPr>
      </w:pPr>
      <w:r>
        <w:t xml:space="preserve">[Placeholder — confirm the specific procedure community-based personnel use to assess a new service location for safety (e.g., a home-visit safety checklist) and how personnel communicate with the office during community visits in the event of an emergency.]</w:t>
      </w:r>
    </w:p>
    <w:p>
      <w:pPr>
        <w:pStyle w:val="Heading3"/>
        <w:rPr>
          <w:sz w:val="22"/>
          <w:szCs w:val="22"/>
        </w:rPr>
      </w:pPr>
      <w:r>
        <w:rPr>
          <w:i/>
          <w:iCs/>
        </w:rPr>
        <w:t xml:space="preserve">4. First Aid and Emergency Information</w:t>
      </w:r>
    </w:p>
    <w:p>
      <w:pPr>
        <w:pStyle w:val="ListParagraph"/>
        <w:numPr>
          <w:ilvl w:val="0"/>
          <w:numId w:val="2"/>
        </w:numPr>
      </w:pPr>
      <w:r>
        <w:t xml:space="preserve">Each location maintains ready access to first aid expertise, equipment, and supplies appropriate to the population served. First aid supplies are checked on a [specify frequency] basis for expiration and adequate stock.</w:t>
      </w:r>
    </w:p>
    <w:p>
      <w:pPr>
        <w:pStyle w:val="ListParagraph"/>
        <w:numPr>
          <w:ilvl w:val="0"/>
          <w:numId w:val="2"/>
        </w:numPr>
      </w:pPr>
      <w:r>
        <w:t xml:space="preserve">Relevant emergency information on persons served and personnel (e.g., medical conditions, emergency contacts, primary care provider, allergies, medications/assistive devices) is kept current and readily accessible at each location, in a format that can be removed from the site during an evacuation if needed. For community-based outings, a summary of this information is available to the personnel overseeing the activity.</w:t>
      </w:r>
    </w:p>
    <w:p>
      <w:pPr>
        <w:pStyle w:val="Heading3"/>
        <w:rPr>
          <w:sz w:val="22"/>
          <w:szCs w:val="22"/>
        </w:rPr>
      </w:pPr>
      <w:r>
        <w:rPr>
          <w:i/>
          <w:iCs/>
        </w:rPr>
        <w:t xml:space="preserve">5. Critical Incidents</w:t>
      </w:r>
    </w:p>
    <w:p>
      <w:pPr>
        <w:spacing w:after="120"/>
      </w:pPr>
      <w:r>
        <w:rPr>
          <w:b/>
          <w:bCs/>
          <w:color w:val="C00000"/>
        </w:rPr>
        <w:t xml:space="preserve">Status: existing critical incident reporting system in place. </w:t>
      </w:r>
      <w:r>
        <w:t xml:space="preserve">This policy incorporates the organization's existing critical incident reporting system by reference, confirmed below against the CARF standard's required scope.</w:t>
      </w:r>
    </w:p>
    <w:p>
      <w:pPr>
        <w:spacing w:after="120"/>
      </w:pPr>
      <w:r>
        <w:t xml:space="preserve">The organization's written critical incident procedures specify, at minimum, the following as reportable critical incidents: medication errors; use of seclusion; use of restraint; incidents involving injury; communicable disease; infection control events; aggression or violence; use/unauthorized possession of weapons; wandering; elopement; vehicular accidents; biohazardous accidents; unauthorized use/possession of legal or illegal substances; abuse; neglect; suicide and attempted suicide; sexual assault; overdose; and other sentinel events.</w:t>
      </w:r>
    </w:p>
    <w:p>
      <w:pPr>
        <w:spacing w:after="120"/>
      </w:pPr>
      <w:r>
        <w:t xml:space="preserve">For each category, the organization's procedures address: prevention; reporting (including internal and any external/regulatory reporting requirements, e.g., child abuse/neglect or vulnerable adult reporting laws); documentation; remedial action; and timely debriefing following the incident.</w:t>
      </w:r>
    </w:p>
    <w:p>
      <w:pPr>
        <w:spacing w:after="160"/>
      </w:pPr>
      <w:r>
        <w:rPr>
          <w:b/>
          <w:bCs/>
          <w:color w:val="C00000"/>
        </w:rPr>
        <w:t xml:space="preserve">Restraint and seclusion procedures: this organization uses restraint and/or seclusion as part of treatment. Because these interventions carry significant clinical, regulatory, and safety implications specific to state law and the population served, this policy does not attempt to specify clinical restraint/seclusion procedures. </w:t>
      </w:r>
      <w:r>
        <w:rPr>
          <w:b/>
          <w:bCs/>
          <w:color w:val="C00000"/>
        </w:rPr>
        <w:t xml:space="preserve">The organization's existing restraint/seclusion policy (developed with clinical and compliance review) is incorporated here by reference and must, at minimum, address the prevention, reporting, documentation, remedial action, and debriefing elements above. This should be confirmed with the organization's clinical director and compliance consultant before this section is finalized. See also Policy 2.F, Promoting Nonviolent Practices, in Section 2 of this manual.</w:t>
      </w:r>
    </w:p>
    <w:p>
      <w:pPr>
        <w:pStyle w:val="ListParagraph"/>
        <w:numPr>
          <w:ilvl w:val="0"/>
          <w:numId w:val="2"/>
        </w:numPr>
      </w:pPr>
      <w:r>
        <w:t xml:space="preserve">All personnel are trained on critical incident identification and reporting requirements at orientation and at least annually thereafter (see Policy 1.H, Part 1, Section 3).</w:t>
      </w:r>
    </w:p>
    <w:p>
      <w:pPr>
        <w:pStyle w:val="ListParagraph"/>
        <w:numPr>
          <w:ilvl w:val="0"/>
          <w:numId w:val="2"/>
        </w:numPr>
      </w:pPr>
      <w:r>
        <w:t xml:space="preserve">Critical incident documentation is retained in a secure, confidential manner consistent with Policy 1.E (Legal Requirements) and applicable licensing requirements regarding retention timeframes.</w:t>
      </w:r>
    </w:p>
    <w:p>
      <w:pPr>
        <w:pStyle w:val="ListParagraph"/>
        <w:numPr>
          <w:ilvl w:val="0"/>
          <w:numId w:val="2"/>
        </w:numPr>
      </w:pPr>
      <w:r>
        <w:t xml:space="preserve">At least annually, leadership (or a designated committee, e.g., a Safety or Human Rights Committee) conducts a written analysis of all critical incidents addressing: causes; trends; areas needing improvement; actions to address those improvements; implementation of the actions; whether the actions achieved the intended results; necessary additional education/training; prevention of recurrence; and internal and external reporting requirements met.</w:t>
      </w:r>
    </w:p>
    <w:p>
      <w:pPr>
        <w:spacing w:after="160"/>
      </w:pPr>
      <w:r>
        <w:t xml:space="preserve">[Placeholder — confirm whether an existing committee performs this annual analysis or whether one should be established, and confirm the existing incident reporting system captures all categories listed above.]</w:t>
      </w:r>
    </w:p>
    <w:p>
      <w:pPr>
        <w:pStyle w:val="Heading3"/>
      </w:pPr>
      <w:r>
        <w:t xml:space="preserve">Responsible Party</w:t>
      </w:r>
    </w:p>
    <w:p>
      <w:pPr>
        <w:spacing w:after="160"/>
      </w:pPr>
      <w:r>
        <w:t xml:space="preserve">Executive Director/CEO and Clinical Director, with the designated Safety Officer for drills/evacuation, and the Clinical Director for critical incident analysis and restraint/seclusion procedures.</w:t>
      </w:r>
    </w:p>
    <w:p>
      <w:pPr>
        <w:pStyle w:val="Heading3"/>
      </w:pPr>
      <w:r>
        <w:t xml:space="preserve">Items Requiring Organization Input</w:t>
      </w:r>
    </w:p>
    <w:p>
      <w:pPr>
        <w:spacing w:after="160"/>
      </w:pPr>
      <w:r>
        <w:rPr>
          <w:i/>
          <w:iCs/>
          <w:color w:val="C00000"/>
        </w:rPr>
        <w:t xml:space="preserve">The following must be finalized before this section is complete: </w:t>
      </w:r>
      <w:r>
        <w:rPr>
          <w:i/>
          <w:iCs/>
          <w:color w:val="C00000"/>
        </w:rPr>
        <w:t xml:space="preserve">(1) signage/accessibility confirmation per location; (2) drill scheduling responsibility and documentation format; (3) home-visit/community safety assessment procedure; (4) first aid supply check frequency; (5) confirmation that the existing incident reporting system covers all required categories; (6) clinical/compliance review of restraint and seclusion procedures; (7) designation of the committee/individual responsible for the annual critical incident analysis.</w:t>
      </w:r>
    </w:p>
    <w:p>
      <w:pPr>
        <w:pStyle w:val="Heading2"/>
      </w:pPr>
      <w:r>
        <w:t xml:space="preserve">Policy 1.H — Health and Safety (Part 3: Infection Control, Transportation, Inspections, and Hazardous Materials)</w:t>
      </w:r>
    </w:p>
    <w:p>
      <w:pPr>
        <w:pStyle w:val="Heading3"/>
      </w:pPr>
      <w:r>
        <w:t xml:space="preserve">Policy Statement</w:t>
      </w:r>
    </w:p>
    <w:p>
      <w:pPr>
        <w:spacing w:after="160"/>
      </w:pPr>
      <w:r>
        <w:t xml:space="preserve">The organization implements written procedures for the prevention, identification, reporting, investigation, and control/mitigation of infections and communicable diseases, with training for persons served, personnel, and other stakeholders. If the organization provides transportation for persons served, written procedures and documented driver/vehicle safeguards apply. The organization conducts comprehensive health and safety self-inspections at least semiannually and an external comprehensive health and safety inspection at least annually, and implements written procedures for the safe handling, storage, and disposal of hazardous materials.</w:t>
      </w:r>
    </w:p>
    <w:p>
      <w:pPr>
        <w:spacing w:after="160"/>
      </w:pPr>
      <w:r>
        <w:rPr>
          <w:b/>
          <w:bCs/>
        </w:rPr>
        <w:t xml:space="preserve">CARF Reference: </w:t>
      </w:r>
      <w:r>
        <w:t xml:space="preserve">Standards 1.H.12–1.H.16 (2026 Behavioral Health Standards Manual, Section 1.H, Health and Safety)</w:t>
      </w:r>
    </w:p>
    <w:p>
      <w:pPr>
        <w:pStyle w:val="Heading3"/>
      </w:pPr>
      <w:r>
        <w:t xml:space="preserve">Procedure</w:t>
      </w:r>
    </w:p>
    <w:p>
      <w:pPr>
        <w:pStyle w:val="Heading3"/>
        <w:rPr>
          <w:sz w:val="22"/>
          <w:szCs w:val="22"/>
        </w:rPr>
      </w:pPr>
      <w:r>
        <w:rPr>
          <w:i/>
          <w:iCs/>
        </w:rPr>
        <w:t xml:space="preserve">1. Infections and Communicable Diseases</w:t>
      </w:r>
    </w:p>
    <w:p>
      <w:pPr>
        <w:pStyle w:val="ListParagraph"/>
        <w:numPr>
          <w:ilvl w:val="0"/>
          <w:numId w:val="2"/>
        </w:numPr>
      </w:pPr>
      <w:r>
        <w:t xml:space="preserve">The organization's written infection control procedures address: prevention (standard/universal precautions, vaccination and screening where applicable); identification; reporting (including to local health authorities as legally required); investigation; and control/mitigation, considering both facility/program-acquired and community-acquired infections.</w:t>
      </w:r>
    </w:p>
    <w:p>
      <w:pPr>
        <w:pStyle w:val="ListParagraph"/>
        <w:numPr>
          <w:ilvl w:val="0"/>
          <w:numId w:val="2"/>
        </w:numPr>
      </w:pPr>
      <w:r>
        <w:t xml:space="preserve">Persons served, personnel, and other stakeholders receive training on these procedures appropriate to their role; personnel training includes standard precautions, hand hygiene, and proper use/disposal of personal protective equipment.</w:t>
      </w:r>
    </w:p>
    <w:p>
      <w:pPr>
        <w:spacing w:after="160"/>
      </w:pPr>
      <w:r>
        <w:t xml:space="preserve">[Placeholder — designate an infection control lead (e.g., Clinical Director) and confirm reporting thresholds/contacts with the local health department.]</w:t>
      </w:r>
    </w:p>
    <w:p>
      <w:pPr>
        <w:pStyle w:val="Heading3"/>
        <w:rPr>
          <w:sz w:val="22"/>
          <w:szCs w:val="22"/>
        </w:rPr>
      </w:pPr>
      <w:r>
        <w:rPr>
          <w:i/>
          <w:iCs/>
        </w:rPr>
        <w:t xml:space="preserve">2. Transportation of Persons Served</w:t>
      </w:r>
    </w:p>
    <w:p>
      <w:pPr>
        <w:spacing w:after="120"/>
      </w:pPr>
      <w:r>
        <w:rPr>
          <w:b/>
          <w:bCs/>
          <w:color w:val="C00000"/>
        </w:rPr>
        <w:t xml:space="preserve">Status: Assumed not currently applicable. </w:t>
      </w:r>
      <w:r>
        <w:t xml:space="preserve">This policy assumes the organization does not provide transportation for persons served using organization-owned, organization-operated, or personnel personal vehicles. If this assumption is incorrect, Standard 1.H.13 requires written procedures covering driver licensing verification, regular review of driving records, vehicle insurance, safety features and equipment, accessibility, driver training, in-vehicle written emergency procedures, communication devices, first aid supplies, and vehicle maintenance — and this section must be built out before the manual is considered complete for this standard.</w:t>
      </w:r>
    </w:p>
    <w:p>
      <w:pPr>
        <w:pStyle w:val="Heading3"/>
        <w:rPr>
          <w:sz w:val="22"/>
          <w:szCs w:val="22"/>
        </w:rPr>
      </w:pPr>
      <w:r>
        <w:rPr>
          <w:i/>
          <w:iCs/>
        </w:rPr>
        <w:t xml:space="preserve">3. Self-Inspections and External Inspections</w:t>
      </w:r>
    </w:p>
    <w:p>
      <w:pPr>
        <w:pStyle w:val="ListParagraph"/>
        <w:numPr>
          <w:ilvl w:val="0"/>
          <w:numId w:val="2"/>
        </w:numPr>
      </w:pPr>
      <w:r>
        <w:t xml:space="preserve">A comprehensive health and safety self-inspection of all facilities regularly used by the organization is conducted at least semiannually, covering each shift, by trained personnel (e.g., the designated Safety Officer, supervisors, or a safety committee).</w:t>
      </w:r>
    </w:p>
    <w:p>
      <w:pPr>
        <w:pStyle w:val="ListParagraph"/>
        <w:numPr>
          <w:ilvl w:val="0"/>
          <w:numId w:val="2"/>
        </w:numPr>
      </w:pPr>
      <w:r>
        <w:t xml:space="preserve">Each self-inspection results in a written report identifying the areas inspected, recommendations for improvement, and actions taken in response.</w:t>
      </w:r>
    </w:p>
    <w:p>
      <w:pPr>
        <w:pStyle w:val="ListParagraph"/>
        <w:numPr>
          <w:ilvl w:val="0"/>
          <w:numId w:val="2"/>
        </w:numPr>
      </w:pPr>
      <w:r>
        <w:t xml:space="preserve">A comprehensive health and safety inspection is also conducted at least annually by a qualified external authority (e.g., fire department representative, licensed safety engineer, insurance carrier safety consultant), covering all facilities regularly used by the organization. The external inspection results in a written report identifying areas inspected, recommendations, and actions taken in response.</w:t>
      </w:r>
    </w:p>
    <w:p>
      <w:pPr>
        <w:spacing w:after="160"/>
      </w:pPr>
      <w:r>
        <w:t xml:space="preserve">[Placeholder — identify the specific external authority/vendor to be used for the annual inspection and confirm scheduling.]</w:t>
      </w:r>
    </w:p>
    <w:p>
      <w:pPr>
        <w:pStyle w:val="Heading3"/>
        <w:rPr>
          <w:sz w:val="22"/>
          <w:szCs w:val="22"/>
        </w:rPr>
      </w:pPr>
      <w:r>
        <w:rPr>
          <w:i/>
          <w:iCs/>
        </w:rPr>
        <w:t xml:space="preserve">4. Hazardous Materials</w:t>
      </w:r>
    </w:p>
    <w:p>
      <w:pPr>
        <w:pStyle w:val="ListParagraph"/>
        <w:numPr>
          <w:ilvl w:val="0"/>
          <w:numId w:val="2"/>
        </w:numPr>
      </w:pPr>
      <w:r>
        <w:t xml:space="preserve">The organization implements written procedures for the safe handling, storage, and disposal of hazardous materials present at its locations (e.g., bodily fluids/biohazardous waste, cleaning supplies, fluorescent bulbs, toner), including appropriate labeling of containers.</w:t>
      </w:r>
    </w:p>
    <w:p>
      <w:pPr>
        <w:pStyle w:val="Heading3"/>
      </w:pPr>
      <w:r>
        <w:t xml:space="preserve">Responsible Party</w:t>
      </w:r>
    </w:p>
    <w:p>
      <w:pPr>
        <w:spacing w:after="160"/>
      </w:pPr>
      <w:r>
        <w:t xml:space="preserve">Executive Director/CEO and Clinical Director, with the designated Safety Officer for inspections.</w:t>
      </w:r>
    </w:p>
    <w:p>
      <w:pPr>
        <w:pStyle w:val="Heading3"/>
      </w:pPr>
      <w:r>
        <w:t xml:space="preserve">Items Requiring Organization Input</w:t>
      </w:r>
    </w:p>
    <w:p>
      <w:pPr>
        <w:spacing w:after="160"/>
      </w:pPr>
      <w:r>
        <w:rPr>
          <w:i/>
          <w:iCs/>
          <w:color w:val="C00000"/>
        </w:rPr>
        <w:t xml:space="preserve">The following must be finalized before this section is complete: </w:t>
      </w:r>
      <w:r>
        <w:rPr>
          <w:i/>
          <w:iCs/>
          <w:color w:val="C00000"/>
        </w:rPr>
        <w:t xml:space="preserve">(1) confirm whether Upstar provides transportation for persons served (if yes, Section 2 above must be fully built out); (2) infection control lead and local health department reporting contacts; (3) external inspection vendor/authority and schedule; (4) hazardous materials specific to each facility location.</w:t>
      </w:r>
    </w:p>
    <w:p>
      <w:pPr>
        <w:pStyle w:val="Heading2"/>
      </w:pPr>
      <w:r>
        <w:t xml:space="preserve">Policy 1.I — Workforce Development and Management</w:t>
      </w:r>
    </w:p>
    <w:p>
      <w:pPr>
        <w:pStyle w:val="Heading3"/>
      </w:pPr>
      <w:r>
        <w:t xml:space="preserve">Policy Statement</w:t>
      </w:r>
    </w:p>
    <w:p>
      <w:pPr>
        <w:spacing w:after="160"/>
      </w:pPr>
      <w:r>
        <w:t xml:space="preserve">The organization documents the composition of its workforce and applies a systematic approach to workforce development and management that reflects its mission, culture, person-centered philosophy, performance measurement system, risk management plan, and strategic plan. Ongoing workforce planning includes workforce analysis, written job descriptions, recruitment, selection, retention, and succession planning. The organization implements written procedures for verification of workforce backgrounds, credentials, and fitness for duty, and for onboarding, engagement, and workforce development activities including competency documentation, assessment, and performance appraisal.</w:t>
      </w:r>
    </w:p>
    <w:p>
      <w:pPr>
        <w:spacing w:after="160"/>
      </w:pPr>
      <w:r>
        <w:rPr>
          <w:b/>
          <w:bCs/>
        </w:rPr>
        <w:t xml:space="preserve">CARF Reference: </w:t>
      </w:r>
      <w:r>
        <w:t xml:space="preserve">Standards 1.I.1–1.I.8 (2026 Behavioral Health Standards Manual, Section 1.I, Workforce Development and Management)</w:t>
      </w:r>
    </w:p>
    <w:p>
      <w:pPr>
        <w:pStyle w:val="Heading3"/>
      </w:pPr>
      <w:r>
        <w:t xml:space="preserve">Procedure</w:t>
      </w:r>
    </w:p>
    <w:p>
      <w:pPr>
        <w:pStyle w:val="Heading3"/>
        <w:rPr>
          <w:sz w:val="22"/>
          <w:szCs w:val="22"/>
        </w:rPr>
      </w:pPr>
      <w:r>
        <w:rPr>
          <w:i/>
          <w:iCs/>
        </w:rPr>
        <w:t xml:space="preserve">1. Workforce Composition and Approach</w:t>
      </w:r>
    </w:p>
    <w:p>
      <w:pPr>
        <w:pStyle w:val="ListParagraph"/>
        <w:numPr>
          <w:ilvl w:val="0"/>
          <w:numId w:val="2"/>
        </w:numPr>
      </w:pPr>
      <w:r>
        <w:t xml:space="preserve">The organization maintains a written description of the composition of its workforce (e.g., full-time and part-time employees, contractors, per diem workers, volunteers, students, peer support specialists) involved in delivery, oversight, or support of its programs and services. [Placeholder — draft and attach this workforce composition description.]</w:t>
      </w:r>
    </w:p>
    <w:p>
      <w:pPr>
        <w:pStyle w:val="ListParagraph"/>
        <w:numPr>
          <w:ilvl w:val="0"/>
          <w:numId w:val="2"/>
        </w:numPr>
      </w:pPr>
      <w:r>
        <w:t xml:space="preserve">Workforce development and management practices are applied in a manner appropriate to each category of workforce member, considering legal requirements, role, and scope of involvement with persons served, and comply with applicable independent contractor classification requirements (IRS guidance in the U.S.).</w:t>
      </w:r>
    </w:p>
    <w:p>
      <w:pPr>
        <w:pStyle w:val="ListParagraph"/>
        <w:numPr>
          <w:ilvl w:val="0"/>
          <w:numId w:val="2"/>
        </w:numPr>
      </w:pPr>
      <w:r>
        <w:t xml:space="preserve">Workforce development and management practices reflect the organization's mission, culture, person-centered philosophy (Policy 1.A), performance measurement and management system (Policy 1.L), risk management plan (Policy 1.G), and strategic plan (Policy 1.C).</w:t>
      </w:r>
    </w:p>
    <w:p>
      <w:pPr>
        <w:pStyle w:val="Heading3"/>
        <w:rPr>
          <w:sz w:val="22"/>
          <w:szCs w:val="22"/>
        </w:rPr>
      </w:pPr>
      <w:r>
        <w:rPr>
          <w:i/>
          <w:iCs/>
        </w:rPr>
        <w:t xml:space="preserve">2. Workforce Planning</w:t>
      </w:r>
    </w:p>
    <w:p>
      <w:pPr>
        <w:pStyle w:val="ListParagraph"/>
        <w:numPr>
          <w:ilvl w:val="0"/>
          <w:numId w:val="2"/>
        </w:numPr>
      </w:pPr>
      <w:r>
        <w:t xml:space="preserve">The Executive Director/CEO conducts ongoing workforce planning, including: workforce analysis (current workforce vs. anticipated needs); maintenance of written job descriptions for every position, reviewed and updated as organizational or external requirements change; recruitment and selection practices; retention strategies; and succession planning for key positions (see also Policy 1.A, Section 5).</w:t>
      </w:r>
    </w:p>
    <w:p>
      <w:pPr>
        <w:pStyle w:val="ListParagraph"/>
        <w:numPr>
          <w:ilvl w:val="0"/>
          <w:numId w:val="2"/>
        </w:numPr>
      </w:pPr>
      <w:r>
        <w:t xml:space="preserve">Personnel are provided their written job description at hire and may provide input into changes when job descriptions are revised.</w:t>
      </w:r>
    </w:p>
    <w:p>
      <w:pPr>
        <w:pStyle w:val="Heading3"/>
        <w:rPr>
          <w:sz w:val="22"/>
          <w:szCs w:val="22"/>
        </w:rPr>
      </w:pPr>
      <w:r>
        <w:rPr>
          <w:i/>
          <w:iCs/>
        </w:rPr>
        <w:t xml:space="preserve">3. Background Checks, Credentials, and Fitness for Duty</w:t>
      </w:r>
    </w:p>
    <w:p>
      <w:pPr>
        <w:spacing w:after="120"/>
      </w:pPr>
      <w:r>
        <w:t xml:space="preserve">The organization implements written procedures verifying, as required by law, funders, or organizational policy:</w:t>
      </w:r>
    </w:p>
    <w:p>
      <w:pPr>
        <w:pStyle w:val="ListParagraph"/>
        <w:numPr>
          <w:ilvl w:val="0"/>
          <w:numId w:val="3"/>
        </w:numPr>
      </w:pPr>
      <w:r>
        <w:t xml:space="preserve">Criminal background checks (required for all workforce members providing direct services to children/adolescents, and for all workforce members serving vulnerable adult populations as required by Upstar policy)</w:t>
      </w:r>
    </w:p>
    <w:p>
      <w:pPr>
        <w:pStyle w:val="ListParagraph"/>
        <w:numPr>
          <w:ilvl w:val="0"/>
          <w:numId w:val="3"/>
        </w:numPr>
      </w:pPr>
      <w:r>
        <w:t xml:space="preserve">Immunizations, fingerprinting, and drug testing, as applicable to role</w:t>
      </w:r>
    </w:p>
    <w:p>
      <w:pPr>
        <w:pStyle w:val="ListParagraph"/>
        <w:numPr>
          <w:ilvl w:val="0"/>
          <w:numId w:val="3"/>
        </w:numPr>
      </w:pPr>
      <w:r>
        <w:t xml:space="preserve">Vulnerable population checks (e.g., adult/child protective services registries, sex offender registry), as applicable</w:t>
      </w:r>
    </w:p>
    <w:p>
      <w:pPr>
        <w:pStyle w:val="ListParagraph"/>
        <w:numPr>
          <w:ilvl w:val="0"/>
          <w:numId w:val="3"/>
        </w:numPr>
      </w:pPr>
      <w:r>
        <w:t xml:space="preserve">Driving records, if the role involves driving for the organization</w:t>
      </w:r>
    </w:p>
    <w:p>
      <w:pPr>
        <w:pStyle w:val="ListParagraph"/>
        <w:numPr>
          <w:ilvl w:val="0"/>
          <w:numId w:val="3"/>
        </w:numPr>
      </w:pPr>
      <w:r>
        <w:t xml:space="preserve">Credentials (licensure, certification, registration, education) verified with primary sources, in every state/jurisdiction where the individual delivers services</w:t>
      </w:r>
    </w:p>
    <w:p>
      <w:pPr>
        <w:pStyle w:val="ListParagraph"/>
        <w:numPr>
          <w:ilvl w:val="0"/>
          <w:numId w:val="3"/>
        </w:numPr>
      </w:pPr>
      <w:r>
        <w:t xml:space="preserve">Fitness for duty, where required</w:t>
      </w:r>
    </w:p>
    <w:p>
      <w:pPr>
        <w:pStyle w:val="ListParagraph"/>
        <w:numPr>
          <w:ilvl w:val="0"/>
          <w:numId w:val="2"/>
        </w:numPr>
      </w:pPr>
      <w:r>
        <w:t xml:space="preserve">All required verifications are completed prior to the individual delivering services to persons served or to the organization, and are re-verified throughout employment (e.g., at license renewal, transfer to a new position, or return to work after extended leave).</w:t>
      </w:r>
    </w:p>
    <w:p>
      <w:pPr>
        <w:pStyle w:val="ListParagraph"/>
        <w:numPr>
          <w:ilvl w:val="0"/>
          <w:numId w:val="2"/>
        </w:numPr>
      </w:pPr>
      <w:r>
        <w:t xml:space="preserve">[Placeholder — designate who is responsible for conducting and documenting these verifications (e.g., the Executive Director/CEO or an HR designee), the specific background check vendor used, and the organization's defined timeframes for re-verification.]</w:t>
      </w:r>
    </w:p>
    <w:p>
      <w:pPr>
        <w:pStyle w:val="ListParagraph"/>
        <w:numPr>
          <w:ilvl w:val="0"/>
          <w:numId w:val="2"/>
        </w:numPr>
      </w:pPr>
      <w:r>
        <w:t xml:space="preserve">If a background check, credential, or fitness-for-duty determination cannot be verified, or returns disqualifying results, the individual does not begin (or continue) delivering services until the matter is resolved, consistent with applicable law.</w:t>
      </w:r>
    </w:p>
    <w:p>
      <w:pPr>
        <w:pStyle w:val="Heading3"/>
        <w:rPr>
          <w:sz w:val="22"/>
          <w:szCs w:val="22"/>
        </w:rPr>
      </w:pPr>
      <w:r>
        <w:rPr>
          <w:i/>
          <w:iCs/>
        </w:rPr>
        <w:t xml:space="preserve">4. Onboarding and Engagement</w:t>
      </w:r>
    </w:p>
    <w:p>
      <w:pPr>
        <w:spacing w:after="120"/>
      </w:pPr>
      <w:r>
        <w:t xml:space="preserve">New personnel receive orientation addressing: the organization's mission, culture, and person-centered philosophy; the performance measurement and management system; the risk management plan; the strategic plan; workforce policies and procedures (including this manual); on-the-job training; position roles, responsibilities, and performance expectations; and communication systems and expectations.</w:t>
      </w:r>
    </w:p>
    <w:p>
      <w:pPr>
        <w:pStyle w:val="ListParagraph"/>
        <w:numPr>
          <w:ilvl w:val="0"/>
          <w:numId w:val="2"/>
        </w:numPr>
      </w:pPr>
      <w:r>
        <w:t xml:space="preserve">On-the-job training/mentoring is provided for personnel with limited experience in a program area, with intensity and duration appropriate to the role.</w:t>
      </w:r>
    </w:p>
    <w:p>
      <w:pPr>
        <w:pStyle w:val="Heading3"/>
        <w:rPr>
          <w:sz w:val="22"/>
          <w:szCs w:val="22"/>
        </w:rPr>
      </w:pPr>
      <w:r>
        <w:rPr>
          <w:i/>
          <w:iCs/>
        </w:rPr>
        <w:t xml:space="preserve">5. Workforce Development</w:t>
      </w:r>
    </w:p>
    <w:p>
      <w:pPr>
        <w:pStyle w:val="ListParagraph"/>
        <w:numPr>
          <w:ilvl w:val="0"/>
          <w:numId w:val="2"/>
        </w:numPr>
      </w:pPr>
      <w:r>
        <w:t xml:space="preserve">The organization documents the competencies expected of each position, both to support the organization's mission/goals and to meet the needs of persons served, and conducts a documented assessment of those competencies at defined timeframes (e.g., at hire and at annual performance review).</w:t>
      </w:r>
    </w:p>
    <w:p>
      <w:pPr>
        <w:pStyle w:val="ListParagraph"/>
        <w:numPr>
          <w:ilvl w:val="0"/>
          <w:numId w:val="2"/>
        </w:numPr>
      </w:pPr>
      <w:r>
        <w:t xml:space="preserve">Competency development resources are made available to personnel (e.g., access to training, journals, conferences, in-service programs), and personnel receive a formal performance appraisal, education, and training consistent with identified competency needs.</w:t>
      </w:r>
    </w:p>
    <w:p>
      <w:pPr>
        <w:spacing w:after="160"/>
      </w:pPr>
      <w:r>
        <w:t xml:space="preserve">[Placeholder — confirm the organization's current performance appraisal frequency/format and the specific competency framework used for clinical vs. administrative roles.]</w:t>
      </w:r>
    </w:p>
    <w:p>
      <w:pPr>
        <w:pStyle w:val="Heading3"/>
      </w:pPr>
      <w:r>
        <w:t xml:space="preserve">Responsible Party</w:t>
      </w:r>
    </w:p>
    <w:p>
      <w:pPr>
        <w:spacing w:after="160"/>
      </w:pPr>
      <w:r>
        <w:t xml:space="preserve">Executive Director/CEO.</w:t>
      </w:r>
    </w:p>
    <w:p>
      <w:pPr>
        <w:pStyle w:val="Heading3"/>
      </w:pPr>
      <w:r>
        <w:t xml:space="preserve">Items Requiring Organization Input</w:t>
      </w:r>
    </w:p>
    <w:p>
      <w:pPr>
        <w:spacing w:after="160"/>
      </w:pPr>
      <w:r>
        <w:rPr>
          <w:i/>
          <w:iCs/>
          <w:color w:val="C00000"/>
        </w:rPr>
        <w:t xml:space="preserve">The following must be finalized before this section is complete: </w:t>
      </w:r>
      <w:r>
        <w:rPr>
          <w:i/>
          <w:iCs/>
          <w:color w:val="C00000"/>
        </w:rPr>
        <w:t xml:space="preserve">(1) written workforce composition description; (2) background check vendor and re-verification timeframes; (3) responsible party for verification documentation; (4) current performance appraisal frequency/format; (5) competency framework for clinical vs. administrative roles.</w:t>
      </w:r>
    </w:p>
    <w:p>
      <w:pPr>
        <w:pStyle w:val="Heading3"/>
        <w:rPr>
          <w:sz w:val="22"/>
          <w:szCs w:val="22"/>
        </w:rPr>
      </w:pPr>
      <w:r>
        <w:rPr>
          <w:i/>
          <w:iCs/>
        </w:rPr>
        <w:t xml:space="preserve">6. Performance Appraisal</w:t>
      </w:r>
    </w:p>
    <w:p>
      <w:pPr>
        <w:spacing w:after="120"/>
      </w:pPr>
      <w:r>
        <w:t xml:space="preserve">Written performance appraisal procedures address, for each workforce group: the criteria against which people are appraised; involvement of the person being appraised in their own appraisal; documentation requirements; the frequency of appraisal; measurable goals; sources of input (e.g., supervisor, peers, persons served); and identified opportunities for development.</w:t>
      </w:r>
    </w:p>
    <w:p>
      <w:pPr>
        <w:spacing w:after="160"/>
      </w:pPr>
      <w:r>
        <w:t xml:space="preserve">[Placeholder — confirm current appraisal frequency and tool/format used.]</w:t>
      </w:r>
    </w:p>
    <w:p>
      <w:pPr>
        <w:pStyle w:val="Heading3"/>
        <w:rPr>
          <w:sz w:val="22"/>
          <w:szCs w:val="22"/>
        </w:rPr>
      </w:pPr>
      <w:r>
        <w:rPr>
          <w:i/>
          <w:iCs/>
        </w:rPr>
        <w:t xml:space="preserve">7. Adequacy of Workforce</w:t>
      </w:r>
    </w:p>
    <w:p>
      <w:pPr>
        <w:pStyle w:val="ListParagraph"/>
        <w:numPr>
          <w:ilvl w:val="0"/>
          <w:numId w:val="2"/>
        </w:numPr>
      </w:pPr>
      <w:r>
        <w:t xml:space="preserve">Leadership monitors whether the organization's workforce is adequate to implement the plans of persons served, ensure their safety, manage unplanned absences, and meet organizational performance expectations, using findings from the organization's performance measurement system (Policy 1.L).</w:t>
      </w:r>
    </w:p>
    <w:p>
      <w:pPr>
        <w:pStyle w:val="ListParagraph"/>
        <w:numPr>
          <w:ilvl w:val="0"/>
          <w:numId w:val="2"/>
        </w:numPr>
      </w:pPr>
      <w:r>
        <w:t xml:space="preserve">Personnel deliver services consistent with applicable regulatory, licensure, registration, and certification requirements, hold required professional degrees, and receive training necessary to maintain established competency levels.</w:t>
      </w:r>
    </w:p>
    <w:p>
      <w:pPr>
        <w:pStyle w:val="Heading3"/>
        <w:rPr>
          <w:sz w:val="22"/>
          <w:szCs w:val="22"/>
        </w:rPr>
      </w:pPr>
      <w:r>
        <w:rPr>
          <w:i/>
          <w:iCs/>
        </w:rPr>
        <w:t xml:space="preserve">8. Succession Planning Detail</w:t>
      </w:r>
    </w:p>
    <w:p>
      <w:pPr>
        <w:spacing w:after="120"/>
      </w:pPr>
      <w:r>
        <w:t xml:space="preserve">Building on the organization-wide succession plan described in Policy 1.A, Section 5, workforce succession planning specifically addresses: identification of key positions (those requiring specialized skill or difficult to replace); review of talent in the current workforce; identification of workforce readiness for advancement; gap analysis between current and needed skills; and strategic development plans to close those gaps.</w:t>
      </w:r>
    </w:p>
    <w:p>
      <w:pPr>
        <w:pStyle w:val="Heading3"/>
        <w:rPr>
          <w:sz w:val="22"/>
          <w:szCs w:val="22"/>
        </w:rPr>
      </w:pPr>
      <w:r>
        <w:rPr>
          <w:i/>
          <w:iCs/>
        </w:rPr>
        <w:t xml:space="preserve">9. Cybersecurity and Technology Training</w:t>
      </w:r>
    </w:p>
    <w:p>
      <w:pPr>
        <w:pStyle w:val="ListParagraph"/>
        <w:numPr>
          <w:ilvl w:val="0"/>
          <w:numId w:val="2"/>
        </w:numPr>
      </w:pPr>
      <w:r>
        <w:t xml:space="preserve">All personnel receive documented training on cybersecurity and on the specific technology used in performance of their job duties, both at orientation and on an ongoing basis thereafter.</w:t>
      </w:r>
    </w:p>
    <w:p>
      <w:pPr>
        <w:spacing w:after="160"/>
      </w:pPr>
      <w:r>
        <w:t xml:space="preserve">[Placeholder — confirm this training is incorporated into the organization's existing IT security program (Policy 1.G, Section 4) and document the training schedule/frequency.]</w:t>
      </w:r>
    </w:p>
    <w:p>
      <w:pPr>
        <w:pStyle w:val="Heading3"/>
      </w:pPr>
      <w:r>
        <w:t xml:space="preserve">Responsible Party</w:t>
      </w:r>
    </w:p>
    <w:p>
      <w:pPr>
        <w:spacing w:after="160"/>
      </w:pPr>
      <w:r>
        <w:t xml:space="preserve">Executive Director/CEO.</w:t>
      </w:r>
    </w:p>
    <w:p>
      <w:pPr>
        <w:pStyle w:val="Heading3"/>
      </w:pPr>
      <w:r>
        <w:t xml:space="preserve">Items Requiring Organization Input</w:t>
      </w:r>
    </w:p>
    <w:p>
      <w:pPr>
        <w:spacing w:after="160"/>
      </w:pPr>
      <w:r>
        <w:rPr>
          <w:i/>
          <w:iCs/>
          <w:color w:val="C00000"/>
        </w:rPr>
        <w:t xml:space="preserve">The following must be finalized before this section is complete: </w:t>
      </w:r>
      <w:r>
        <w:rPr>
          <w:i/>
          <w:iCs/>
          <w:color w:val="C00000"/>
        </w:rPr>
        <w:t xml:space="preserve">(1) performance appraisal frequency/tool; (2) workforce adequacy monitoring metrics; (3) key-position succession detail; (4) cybersecurity/technology training schedule.</w:t>
      </w:r>
    </w:p>
    <w:p>
      <w:pPr>
        <w:pStyle w:val="Heading2"/>
      </w:pPr>
      <w:r>
        <w:t xml:space="preserve">Policy 1.J — Rights of Persons Served</w:t>
      </w:r>
    </w:p>
    <w:p>
      <w:pPr>
        <w:pStyle w:val="Heading3"/>
      </w:pPr>
      <w:r>
        <w:t xml:space="preserve">Policy Statement</w:t>
      </w:r>
    </w:p>
    <w:p>
      <w:pPr>
        <w:spacing w:after="160"/>
      </w:pPr>
      <w:r>
        <w:t xml:space="preserve">The organization implements written policies protecting and promoting the rights of all persons served, including: confidentiality of information; privacy; freedom from abuse, financial or other exploitation, retaliation, humiliation, neglect, and discrimination; access to pertinent information and to their own records; informed consent (or refusal) regarding service delivery, release of information, concurrent services, composition of the service delivery team, and research involvement, if applicable; access or referral to legal representation, self-help, and advocacy support; adherence to research ethics where applicable; and a process for investigation and resolution of alleged rights infringements. The organization maintains a formal complaint policy and conducts at least an annual analysis of all formal complaints.</w:t>
      </w:r>
    </w:p>
    <w:p>
      <w:pPr>
        <w:spacing w:after="160"/>
      </w:pPr>
      <w:r>
        <w:rPr>
          <w:b/>
          <w:bCs/>
        </w:rPr>
        <w:t xml:space="preserve">CARF Reference: </w:t>
      </w:r>
      <w:r>
        <w:t xml:space="preserve">Standards 1.J.1–1.J.4 (2026 Behavioral Health Standards Manual, Section 1.J, Rights of Persons Served)</w:t>
      </w:r>
    </w:p>
    <w:p>
      <w:pPr>
        <w:pStyle w:val="Heading3"/>
      </w:pPr>
      <w:r>
        <w:t xml:space="preserve">Procedure</w:t>
      </w:r>
    </w:p>
    <w:p>
      <w:pPr>
        <w:pStyle w:val="Heading3"/>
        <w:rPr>
          <w:sz w:val="22"/>
          <w:szCs w:val="22"/>
        </w:rPr>
      </w:pPr>
      <w:r>
        <w:rPr>
          <w:i/>
          <w:iCs/>
        </w:rPr>
        <w:t xml:space="preserve">1. Rights Policy</w:t>
      </w:r>
    </w:p>
    <w:p>
      <w:pPr>
        <w:spacing w:after="120"/>
      </w:pPr>
      <w:r>
        <w:t xml:space="preserve">The organization's Rights of Persons Served policy, provided to every person served at intake in an understandable format, affirms the right to:</w:t>
      </w:r>
    </w:p>
    <w:p>
      <w:pPr>
        <w:pStyle w:val="ListParagraph"/>
        <w:numPr>
          <w:ilvl w:val="0"/>
          <w:numId w:val="3"/>
        </w:numPr>
      </w:pPr>
      <w:r>
        <w:t xml:space="preserve">Confidentiality of clinical, billing, and other personal information, consistent with HIPAA and, where applicable, 42 CFR Part 2 (federal substance use disorder confidentiality requirements)</w:t>
      </w:r>
    </w:p>
    <w:p>
      <w:pPr>
        <w:pStyle w:val="ListParagraph"/>
        <w:numPr>
          <w:ilvl w:val="0"/>
          <w:numId w:val="3"/>
        </w:numPr>
      </w:pPr>
      <w:r>
        <w:t xml:space="preserve">Privacy, and freedom from physical, sexual, psychological, and fiduciary abuse; harassment; humiliation; neglect; retaliation; and discrimination</w:t>
      </w:r>
    </w:p>
    <w:p>
      <w:pPr>
        <w:pStyle w:val="ListParagraph"/>
        <w:numPr>
          <w:ilvl w:val="0"/>
          <w:numId w:val="3"/>
        </w:numPr>
      </w:pPr>
      <w:r>
        <w:t xml:space="preserve">Access to information pertinent to their care in sufficient time to support their own decision-making, and access to their own records (requests addressed within a reasonable timeframe, e.g., 30 days, absent a more specific legal requirement)</w:t>
      </w:r>
    </w:p>
    <w:p>
      <w:pPr>
        <w:pStyle w:val="ListParagraph"/>
        <w:numPr>
          <w:ilvl w:val="0"/>
          <w:numId w:val="3"/>
        </w:numPr>
      </w:pPr>
      <w:r>
        <w:t xml:space="preserve">Informed consent or refusal regarding service delivery, release of information (per Policy 2.G, Records of the Persons Served), concurrent services, composition of their service delivery team, and, if applicable, involvement in research</w:t>
      </w:r>
    </w:p>
    <w:p>
      <w:pPr>
        <w:pStyle w:val="ListParagraph"/>
        <w:numPr>
          <w:ilvl w:val="0"/>
          <w:numId w:val="3"/>
        </w:numPr>
      </w:pPr>
      <w:r>
        <w:t xml:space="preserve">Access or referral to legal representation, self-help support, and advocacy support services</w:t>
      </w:r>
    </w:p>
    <w:p>
      <w:pPr>
        <w:pStyle w:val="ListParagraph"/>
        <w:numPr>
          <w:ilvl w:val="0"/>
          <w:numId w:val="3"/>
        </w:numPr>
      </w:pPr>
      <w:r>
        <w:t xml:space="preserve">Adherence to applicable research ethics guidelines, if the person is involved in any research project</w:t>
      </w:r>
    </w:p>
    <w:p>
      <w:pPr>
        <w:pStyle w:val="ListParagraph"/>
        <w:numPr>
          <w:ilvl w:val="0"/>
          <w:numId w:val="3"/>
        </w:numPr>
      </w:pPr>
      <w:r>
        <w:t xml:space="preserve">Investigation and resolution of any alleged infringement of these rights</w:t>
      </w:r>
    </w:p>
    <w:p>
      <w:pPr>
        <w:pStyle w:val="ListParagraph"/>
        <w:numPr>
          <w:ilvl w:val="0"/>
          <w:numId w:val="2"/>
        </w:numPr>
      </w:pPr>
      <w:r>
        <w:t xml:space="preserve">Allegations of rights infringement are investigated and resolved by [specify role, e.g., the Clinical Director or a designated Rights Officer], with findings and resolution documented in the person's record and/or a separate rights log.</w:t>
      </w:r>
    </w:p>
    <w:p>
      <w:pPr>
        <w:pStyle w:val="Heading3"/>
        <w:rPr>
          <w:sz w:val="22"/>
          <w:szCs w:val="22"/>
        </w:rPr>
      </w:pPr>
      <w:r>
        <w:rPr>
          <w:i/>
          <w:iCs/>
        </w:rPr>
        <w:t xml:space="preserve">2. Formal Complaints</w:t>
      </w:r>
    </w:p>
    <w:p>
      <w:pPr>
        <w:pStyle w:val="ListParagraph"/>
        <w:numPr>
          <w:ilvl w:val="0"/>
          <w:numId w:val="2"/>
        </w:numPr>
      </w:pPr>
      <w:r>
        <w:t xml:space="preserve">The organization implements a written policy and procedure by which persons served may formally complain, specifying how to file a complaint, expected response timeframes, and the right to escalate if unsatisfied with the response. [Placeholder — confirm/attach the organization's existing grievance/complaint form and process.]</w:t>
      </w:r>
    </w:p>
    <w:p>
      <w:pPr>
        <w:pStyle w:val="ListParagraph"/>
        <w:numPr>
          <w:ilvl w:val="0"/>
          <w:numId w:val="2"/>
        </w:numPr>
      </w:pPr>
      <w:r>
        <w:t xml:space="preserve">At least annually, leadership conducts a written analysis of all formal complaints received, addressing causes, trends, and actions taken, consistent with the approach described for critical incidents in Policy 1.H, Part 2, Section 5.</w:t>
      </w:r>
    </w:p>
    <w:p>
      <w:pPr>
        <w:pStyle w:val="Heading3"/>
      </w:pPr>
      <w:r>
        <w:t xml:space="preserve">Responsible Party</w:t>
      </w:r>
    </w:p>
    <w:p>
      <w:pPr>
        <w:spacing w:after="160"/>
      </w:pPr>
      <w:r>
        <w:t xml:space="preserve">Clinical Director.</w:t>
      </w:r>
    </w:p>
    <w:p>
      <w:pPr>
        <w:pStyle w:val="Heading3"/>
      </w:pPr>
      <w:r>
        <w:t xml:space="preserve">Items Requiring Organization Input</w:t>
      </w:r>
    </w:p>
    <w:p>
      <w:pPr>
        <w:spacing w:after="160"/>
      </w:pPr>
      <w:r>
        <w:rPr>
          <w:i/>
          <w:iCs/>
          <w:color w:val="C00000"/>
        </w:rPr>
        <w:t xml:space="preserve">The following must be finalized before this section is complete: </w:t>
      </w:r>
      <w:r>
        <w:rPr>
          <w:i/>
          <w:iCs/>
          <w:color w:val="C00000"/>
        </w:rPr>
        <w:t xml:space="preserve">(1) designated Rights Officer/investigating role; (2) existing grievance/complaint form and process; (3) confirmation of 42 CFR Part 2 applicability if Upstar treats substance use disorders; (4) who conducts the annual complaint analysis.</w:t>
      </w:r>
    </w:p>
    <w:p>
      <w:pPr>
        <w:pStyle w:val="Heading2"/>
      </w:pPr>
      <w:r>
        <w:t xml:space="preserve">Policy 1.K — Accessibility</w:t>
      </w:r>
    </w:p>
    <w:p>
      <w:pPr>
        <w:pStyle w:val="Heading3"/>
      </w:pPr>
      <w:r>
        <w:t xml:space="preserve">Policy Statement</w:t>
      </w:r>
    </w:p>
    <w:p>
      <w:pPr>
        <w:spacing w:after="160"/>
      </w:pPr>
      <w:r>
        <w:t xml:space="preserve">Leadership assesses the accessibility needs of persons served, personnel, and other stakeholders, and implements an ongoing process to identify and address barriers in architecture, environment, attitudes, finances, employment, communication, technology, transportation, community integration, and any other barrier identified by stakeholders. The organization implements a written accessibility plan, reviewed at least annually, and a process for reviewing and deciding upon requests for reasonable accommodation.</w:t>
      </w:r>
    </w:p>
    <w:p>
      <w:pPr>
        <w:spacing w:after="160"/>
      </w:pPr>
      <w:r>
        <w:rPr>
          <w:b/>
          <w:bCs/>
        </w:rPr>
        <w:t xml:space="preserve">CARF Reference: </w:t>
      </w:r>
      <w:r>
        <w:t xml:space="preserve">Standards 1.K.1–1.K.3 (2026 Behavioral Health Standards Manual, Section 1.K, Accessibility)</w:t>
      </w:r>
    </w:p>
    <w:p>
      <w:pPr>
        <w:pStyle w:val="Heading3"/>
      </w:pPr>
      <w:r>
        <w:t xml:space="preserve">Procedure</w:t>
      </w:r>
    </w:p>
    <w:p>
      <w:pPr>
        <w:pStyle w:val="ListParagraph"/>
        <w:numPr>
          <w:ilvl w:val="0"/>
          <w:numId w:val="2"/>
        </w:numPr>
      </w:pPr>
      <w:r>
        <w:t xml:space="preserve">Leadership solicits input from persons served, personnel, and other stakeholders (using the mechanisms described in Policy 1.D) to identify barriers across each category: architectural/physical, environmental, attitudinal, financial, employment-related, communication, technology, transportation, and community integration.</w:t>
      </w:r>
    </w:p>
    <w:p>
      <w:pPr>
        <w:pStyle w:val="ListParagraph"/>
        <w:numPr>
          <w:ilvl w:val="0"/>
          <w:numId w:val="2"/>
        </w:numPr>
      </w:pPr>
      <w:r>
        <w:t xml:space="preserve">The organization maintains a written accessibility plan reflecting the diversity of persons served, personnel, and other stakeholders, identifying for each barrier the action to be taken and a timeline, reviewed at least annually for progress and updated as needed. [Placeholder — draft and attach the organization's initial accessibility plan/barrier list.]</w:t>
      </w:r>
    </w:p>
    <w:p>
      <w:pPr>
        <w:pStyle w:val="ListParagraph"/>
        <w:numPr>
          <w:ilvl w:val="0"/>
          <w:numId w:val="2"/>
        </w:numPr>
      </w:pPr>
      <w:r>
        <w:t xml:space="preserve">Requests for reasonable accommodation are submitted to [specify role, e.g., the Executive Director/CEO], reviewed against the merits of the request, decided upon, and documented. Where an accommodation cannot be made, the organization refers the requestor to accessible alternative resources.</w:t>
      </w:r>
    </w:p>
    <w:p>
      <w:pPr>
        <w:pStyle w:val="Heading3"/>
      </w:pPr>
      <w:r>
        <w:t xml:space="preserve">Responsible Party</w:t>
      </w:r>
    </w:p>
    <w:p>
      <w:pPr>
        <w:spacing w:after="160"/>
      </w:pPr>
      <w:r>
        <w:t xml:space="preserve">Executive Director/CEO.</w:t>
      </w:r>
    </w:p>
    <w:p>
      <w:pPr>
        <w:pStyle w:val="Heading3"/>
      </w:pPr>
      <w:r>
        <w:t xml:space="preserve">Items Requiring Organization Input</w:t>
      </w:r>
    </w:p>
    <w:p>
      <w:pPr>
        <w:spacing w:after="160"/>
      </w:pPr>
      <w:r>
        <w:rPr>
          <w:i/>
          <w:iCs/>
          <w:color w:val="C00000"/>
        </w:rPr>
        <w:t xml:space="preserve">The following must be finalized before this section is complete: </w:t>
      </w:r>
      <w:r>
        <w:rPr>
          <w:i/>
          <w:iCs/>
          <w:color w:val="C00000"/>
        </w:rPr>
        <w:t xml:space="preserve">(1) the organization's written accessibility plan and barrier list; (2) designated role for reviewing accommodation requests.</w:t>
      </w:r>
    </w:p>
    <w:p>
      <w:pPr>
        <w:pStyle w:val="Heading2"/>
      </w:pPr>
      <w:r>
        <w:t xml:space="preserve">Policy 1.L — Performance Measurement and Management</w:t>
      </w:r>
    </w:p>
    <w:p>
      <w:pPr>
        <w:spacing w:after="160"/>
      </w:pPr>
      <w:r>
        <w:rPr>
          <w:b/>
          <w:bCs/>
        </w:rPr>
        <w:t xml:space="preserve">Note on scope: </w:t>
      </w:r>
      <w:r>
        <w:t xml:space="preserve">Standard 1.L is technically detailed, requiring the organization to build a working measurement system (specific indicators, data sources, targets, and a data integrity process) for each accredited program. This policy establishes the required framework and structure; the specific indicators, targets, and data collection tools for Upstar's programs are a substantial follow-on project, typically led by a quality/performance improvement function, and are not fully specified here.</w:t>
      </w:r>
    </w:p>
    <w:p>
      <w:pPr>
        <w:pStyle w:val="Heading3"/>
      </w:pPr>
      <w:r>
        <w:t xml:space="preserve">Policy Statement</w:t>
      </w:r>
    </w:p>
    <w:p>
      <w:pPr>
        <w:spacing w:after="160"/>
      </w:pPr>
      <w:r>
        <w:t xml:space="preserve">Leadership demonstrates accountability for performance measurement and management in both service delivery and business functions. The organization identifies gaps and opportunities, with stakeholder input, in developing and reviewing its performance measurement and management plan. For each accredited program, the organization measures, at minimum: results achieved for persons served (effectiveness); experience of services and feedback from persons served and other stakeholders; resources used to achieve results (efficiency); and service access — each with a defined objective, indicator, responsible party, data source, timeframe, and performance target, reviewed at least annually.</w:t>
      </w:r>
    </w:p>
    <w:p>
      <w:pPr>
        <w:spacing w:after="160"/>
      </w:pPr>
      <w:r>
        <w:rPr>
          <w:b/>
          <w:bCs/>
        </w:rPr>
        <w:t xml:space="preserve">CARF Reference: </w:t>
      </w:r>
      <w:r>
        <w:t xml:space="preserve">Standards 1.L.1–1.L.7+ (2026 Behavioral Health Standards Manual, Section 1.L, Performance Measurement and Management)</w:t>
      </w:r>
    </w:p>
    <w:p>
      <w:pPr>
        <w:pStyle w:val="Heading3"/>
      </w:pPr>
      <w:r>
        <w:t xml:space="preserve">Procedure</w:t>
      </w:r>
    </w:p>
    <w:p>
      <w:pPr>
        <w:pStyle w:val="ListParagraph"/>
        <w:numPr>
          <w:ilvl w:val="0"/>
          <w:numId w:val="2"/>
        </w:numPr>
      </w:pPr>
      <w:r>
        <w:t xml:space="preserve">Leadership demonstrates accountability for performance measurement by reviewing established objectives, indicators, and measures, and by participating in or overseeing performance improvement activities.</w:t>
      </w:r>
    </w:p>
    <w:p>
      <w:pPr>
        <w:pStyle w:val="ListParagraph"/>
        <w:numPr>
          <w:ilvl w:val="0"/>
          <w:numId w:val="2"/>
        </w:numPr>
      </w:pPr>
      <w:r>
        <w:t xml:space="preserve">Before developing or revising the performance measurement and management plan, the organization gathers input from persons served, personnel, and other stakeholders (per Policy 1.D), considers the characteristics of persons served, expected results, extenuating/influencing factors, available comparative data, and how performance information will be communicated and supported by technology.</w:t>
      </w:r>
    </w:p>
    <w:p>
      <w:pPr>
        <w:pStyle w:val="ListParagraph"/>
        <w:numPr>
          <w:ilvl w:val="0"/>
          <w:numId w:val="2"/>
        </w:numPr>
      </w:pPr>
      <w:r>
        <w:t xml:space="preserve">For each accredited program, the organization's performance measurement and management plan documents, at minimum, one objective and performance indicator for each of: results achieved for persons served (effectiveness); experience of services/feedback from persons served; experience of services/feedback from other stakeholders; resources used to achieve results (efficiency); and service access. For each indicator, the plan specifies: to whom/what it applies; the responsible party for data collection; the data source; collection timeframes; and a performance target (based on the organization's own history, a stakeholder-established benchmark, or an industry benchmark).</w:t>
      </w:r>
    </w:p>
    <w:p>
      <w:pPr>
        <w:pStyle w:val="ListParagraph"/>
        <w:numPr>
          <w:ilvl w:val="0"/>
          <w:numId w:val="2"/>
        </w:numPr>
      </w:pPr>
      <w:r>
        <w:t xml:space="preserve">The plan addresses data validity (data measure what they are intended to measure) and reliability (data are collected consistently, completely, and accurately), and is reviewed at least annually for relevance and updated as needed.</w:t>
      </w:r>
    </w:p>
    <w:p>
      <w:pPr>
        <w:spacing w:after="160"/>
      </w:pPr>
      <w:r>
        <w:rPr>
          <w:i/>
          <w:iCs/>
          <w:color w:val="C00000"/>
        </w:rPr>
        <w:t xml:space="preserve">[Placeholder — this is the core unbuilt component of Upstar's accreditation readiness: the organization must develop its specific service-delivery and business-function indicators, targets, and data collection tools for each accredited program. This typically requires dedicated quality/clinical leadership time and is recommended as a near-term priority project separate from this policy document.]</w:t>
      </w:r>
    </w:p>
    <w:p>
      <w:pPr>
        <w:pStyle w:val="Heading3"/>
      </w:pPr>
      <w:r>
        <w:t xml:space="preserve">Responsible Party</w:t>
      </w:r>
    </w:p>
    <w:p>
      <w:pPr>
        <w:spacing w:after="160"/>
      </w:pPr>
      <w:r>
        <w:t xml:space="preserve">Executive Director/CEO and Clinical Director.</w:t>
      </w:r>
    </w:p>
    <w:p>
      <w:pPr>
        <w:pStyle w:val="Heading3"/>
      </w:pPr>
      <w:r>
        <w:t xml:space="preserve">Items Requiring Organization Input</w:t>
      </w:r>
    </w:p>
    <w:p>
      <w:pPr>
        <w:spacing w:after="160"/>
      </w:pPr>
      <w:r>
        <w:rPr>
          <w:i/>
          <w:iCs/>
          <w:color w:val="C00000"/>
        </w:rPr>
        <w:t xml:space="preserve">The following must be finalized before this section is complete: </w:t>
      </w:r>
      <w:r>
        <w:rPr>
          <w:i/>
          <w:iCs/>
          <w:color w:val="C00000"/>
        </w:rPr>
        <w:t xml:space="preserve">(1) specific performance indicators, data sources, and targets for each accredited program (effectiveness, experience/satisfaction, efficiency, access); (2) designation of data collection/analysis responsibility; (3) data integrity verification process.</w:t>
      </w:r>
    </w:p>
    <w:p>
      <w:pPr>
        <w:pStyle w:val="Heading2"/>
      </w:pPr>
      <w:r>
        <w:t xml:space="preserve">Policy 1.M — Performance Improvement</w:t>
      </w:r>
    </w:p>
    <w:p>
      <w:pPr>
        <w:pStyle w:val="Heading3"/>
      </w:pPr>
      <w:r>
        <w:t xml:space="preserve">Policy Statement</w:t>
      </w:r>
    </w:p>
    <w:p>
      <w:pPr>
        <w:spacing w:after="160"/>
      </w:pPr>
      <w:r>
        <w:t xml:space="preserve">The organization conducts a documented analysis of service delivery and business function performance at least annually (and per the timeframes in the performance measurement and management plan), including comparative analysis, trend identification, and cause analysis. Results are used to identify areas needing improvement, develop and implement action plans, and determine whether actions taken achieved their intended results. Accurate performance information is communicated to persons served, personnel, and other stakeholders according to their needs.</w:t>
      </w:r>
    </w:p>
    <w:p>
      <w:pPr>
        <w:spacing w:after="160"/>
      </w:pPr>
      <w:r>
        <w:rPr>
          <w:b/>
          <w:bCs/>
        </w:rPr>
        <w:t xml:space="preserve">CARF Reference: </w:t>
      </w:r>
      <w:r>
        <w:t xml:space="preserve">Standards 1.M.1–1.M.4 (2026 Behavioral Health Standards Manual, Section 1.M, Performance Improvement)</w:t>
      </w:r>
    </w:p>
    <w:p>
      <w:pPr>
        <w:pStyle w:val="Heading3"/>
      </w:pPr>
      <w:r>
        <w:t xml:space="preserve">Procedure</w:t>
      </w:r>
    </w:p>
    <w:p>
      <w:pPr>
        <w:pStyle w:val="ListParagraph"/>
        <w:numPr>
          <w:ilvl w:val="0"/>
          <w:numId w:val="2"/>
        </w:numPr>
      </w:pPr>
      <w:r>
        <w:t xml:space="preserve">At least annually, the Executive Director/CEO and Clinical Director document a written analysis of service delivery performance for each accredited program, addressing each indicator established under Policy 1.L (effectiveness, experience/feedback, efficiency, access), incorporating the characteristics of persons served and any extenuating/influencing factors, and including comparative analysis, trend identification, and cause analysis.</w:t>
      </w:r>
    </w:p>
    <w:p>
      <w:pPr>
        <w:pStyle w:val="ListParagraph"/>
        <w:numPr>
          <w:ilvl w:val="0"/>
          <w:numId w:val="2"/>
        </w:numPr>
      </w:pPr>
      <w:r>
        <w:t xml:space="preserve">A parallel annual analysis is conducted for priority business function indicators (e.g., financial performance per Policy 1.F, risk management per Policy 1.G, critical incidents per Policy 1.H, formal complaints per Policy 1.J).</w:t>
      </w:r>
    </w:p>
    <w:p>
      <w:pPr>
        <w:pStyle w:val="ListParagraph"/>
        <w:numPr>
          <w:ilvl w:val="0"/>
          <w:numId w:val="2"/>
        </w:numPr>
      </w:pPr>
      <w:r>
        <w:t xml:space="preserve">Each analysis is used to: identify areas needing performance improvement; develop a written action plan; implement the action plan; and determine, in a subsequent review cycle, whether the actions taken achieved their intended results.</w:t>
      </w:r>
    </w:p>
    <w:p>
      <w:pPr>
        <w:pStyle w:val="ListParagraph"/>
        <w:numPr>
          <w:ilvl w:val="0"/>
          <w:numId w:val="2"/>
        </w:numPr>
      </w:pPr>
      <w:r>
        <w:t xml:space="preserve">Results of performance analysis also inform organizational decision-making (service delivery and business functions) and guide revisions to the performance measurement and management plan itself.</w:t>
      </w:r>
    </w:p>
    <w:p>
      <w:pPr>
        <w:pStyle w:val="ListParagraph"/>
        <w:numPr>
          <w:ilvl w:val="0"/>
          <w:numId w:val="2"/>
        </w:numPr>
      </w:pPr>
      <w:r>
        <w:t xml:space="preserve">Performance information is communicated to persons served, personnel, and other stakeholders in content, format, and timing appropriate to each group's needs (e.g., summary updates at staff meetings for personnel; plain-language summaries for persons served; [placeholder — confirm specific communication channels]).</w:t>
      </w:r>
    </w:p>
    <w:p>
      <w:pPr>
        <w:pStyle w:val="Heading3"/>
      </w:pPr>
      <w:r>
        <w:t xml:space="preserve">Responsible Party</w:t>
      </w:r>
    </w:p>
    <w:p>
      <w:pPr>
        <w:spacing w:after="160"/>
      </w:pPr>
      <w:r>
        <w:t xml:space="preserve">Executive Director/CEO and Clinical Director.</w:t>
      </w:r>
    </w:p>
    <w:p>
      <w:pPr>
        <w:pStyle w:val="Heading3"/>
      </w:pPr>
      <w:r>
        <w:t xml:space="preserve">Items Requiring Organization Input</w:t>
      </w:r>
    </w:p>
    <w:p>
      <w:pPr>
        <w:spacing w:after="160"/>
      </w:pPr>
      <w:r>
        <w:rPr>
          <w:i/>
          <w:iCs/>
          <w:color w:val="C00000"/>
        </w:rPr>
        <w:t xml:space="preserve">The following must be finalized before this section is complete: </w:t>
      </w:r>
      <w:r>
        <w:rPr>
          <w:i/>
          <w:iCs/>
          <w:color w:val="C00000"/>
        </w:rPr>
        <w:t xml:space="preserve">(1) dependent on Policy 1.L's indicators being established first; (2) specific communication channels for sharing performance information with each stakeholder group.</w:t>
      </w:r>
    </w:p>
    <w:p>
      <w:pPr>
        <w:spacing w:after="160" w:before="400"/>
      </w:pPr>
      <w:r>
        <w:rPr>
          <w:b/>
          <w:bCs/>
          <w:i/>
          <w:iCs/>
          <w:color w:val="888888"/>
        </w:rPr>
        <w:t xml:space="preserve">— End of Section 1: ASPIRE to Excellence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Policy &amp; Procedure Manual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2026-06-23T18:45:37.601Z</dcterms:created>
  <dcterms:modified xsi:type="dcterms:W3CDTF">2026-06-23T18:45:37.614Z</dcterms:modified>
</cp:coreProperties>
</file>

<file path=docProps/custom.xml><?xml version="1.0" encoding="utf-8"?>
<Properties xmlns="http://schemas.openxmlformats.org/officeDocument/2006/custom-properties" xmlns:vt="http://schemas.openxmlformats.org/officeDocument/2006/docPropsVTypes"/>
</file>