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ind w:left="43" w:right="0" w:hanging="354"/>
        <w:rPr/>
      </w:pPr>
      <w:r>
        <w:rPr/>
      </w:r>
    </w:p>
    <w:tbl>
      <w:tblPr>
        <w:jc w:val="left"/>
        <w:tblInd w:w="-8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962"/>
        <w:gridCol w:w="3389"/>
        <w:gridCol w:w="909"/>
        <w:gridCol w:w="1125"/>
        <w:gridCol w:w="2973"/>
      </w:tblGrid>
      <w:tr>
        <w:trPr>
          <w:tblHeader w:val="true"/>
          <w:cantSplit w:val="true"/>
        </w:trPr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1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1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1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1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1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</w:t>
            </w:r>
            <w:r>
              <w:rPr>
                <w:rFonts w:eastAsia="Arial"/>
                <w:sz w:val="22"/>
                <w:szCs w:val="22"/>
              </w:rPr>
              <w:t>112</w:t>
            </w:r>
          </w:p>
        </w:tc>
        <w:tc>
          <w:tcPr>
            <w:tcW w:w="33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before="120" w:after="0"/>
              <w:rPr>
                <w:rFonts w:eastAsia="Arial" w:cs="Arial"/>
                <w:color w:val="00000A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US" w:eastAsia="en-US" w:bidi="en-US"/>
              </w:rPr>
              <w:t>Browser giving alert while switching account.</w:t>
            </w:r>
            <w:r>
              <w:rPr>
                <w:rFonts w:eastAsia="Arial" w:cs="Arial"/>
                <w:color w:val="00000A"/>
                <w:sz w:val="22"/>
                <w:szCs w:val="22"/>
                <w:lang w:val="en-US" w:eastAsia="en-US" w:bidi="en-US"/>
              </w:rPr>
              <w:br/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FIX</w:t>
            </w:r>
          </w:p>
        </w:tc>
        <w:tc>
          <w:tcPr>
            <w:tcW w:w="11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CODE FIX</w:t>
            </w:r>
          </w:p>
        </w:tc>
        <w:tc>
          <w:tcPr>
            <w:tcW w:w="2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before="12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Screen goes blank and box where you need to have it “try again”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PC-1</w:t>
            </w:r>
            <w:r>
              <w:rPr>
                <w:rFonts w:eastAsia="Arial"/>
                <w:sz w:val="22"/>
                <w:szCs w:val="22"/>
              </w:rPr>
              <w:t>11</w:t>
            </w:r>
          </w:p>
        </w:tc>
        <w:tc>
          <w:tcPr>
            <w:tcW w:w="33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before="120" w:after="0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US" w:eastAsia="en-US" w:bidi="en-US"/>
              </w:rPr>
              <w:t>Point config/database.yml to stage</w:t>
            </w:r>
            <w:r>
              <w:rPr>
                <w:rFonts w:eastAsia="Arial" w:cs="Arial"/>
                <w:color w:val="00000A"/>
                <w:sz w:val="22"/>
                <w:szCs w:val="22"/>
                <w:lang w:val="en-US" w:eastAsia="en-US" w:bidi="en-US"/>
              </w:rPr>
              <w:br/>
            </w:r>
            <w:r>
              <w:rPr/>
              <w:br/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FIX</w:t>
            </w:r>
          </w:p>
        </w:tc>
        <w:tc>
          <w:tcPr>
            <w:tcW w:w="11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CODE FIX</w:t>
            </w:r>
          </w:p>
        </w:tc>
        <w:tc>
          <w:tcPr>
            <w:tcW w:w="2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before="12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The default installation of the portal points to production. we need to have it point to stage.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v1.15</w:t>
    </w:r>
    <w:r>
      <w:rPr>
        <w:b/>
        <w:bCs/>
      </w:rPr>
      <w:t>a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Radhe</cp:lastModifiedBy>
  <dcterms:modified xsi:type="dcterms:W3CDTF">2014-09-08T13:47:00Z</dcterms:modified>
  <cp:revision>17</cp:revision>
</cp:coreProperties>
</file>