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62"/>
        <w:gridCol w:w="3389"/>
        <w:gridCol w:w="909"/>
        <w:gridCol w:w="1125"/>
        <w:gridCol w:w="2973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53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Prevent Kit Copy into Inventory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KIT COPY NOT PREVENTED EVEN AFTER PREFERENCES ARE CHECKED</w:t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57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Honeywell Kit Label</w:t>
            </w:r>
            <w:r>
              <w:rPr/>
              <w:b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PN/QTY/REF label Portrait *** cust line is .5" too far to left(top)... needs to move over to right(bottom) by .5" also cup number is missing on label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 xml:space="preserve">PC - 75 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Add multiple parts per cup to first entry screen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 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When adding a part the image (also true when no image present and the icon for no image shows up) shifts the red X button to delete the line under the + button to add another part.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PC-</w:t>
            </w:r>
            <w:r>
              <w:rPr/>
              <w:t>85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Error in large kitting template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This specific issue has been fixed on DCD485, but I noticed an issue in Testing that not all images are displaying. For instance KIT-020180-18414-1, onscreen images show for all parts, but when the template is generated only 2 parts show images.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v1.15</w:t>
    </w:r>
    <w:r>
      <w:rPr>
        <w:b/>
        <w:bCs/>
      </w:rPr>
      <w:t>b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