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numPr>
          <w:ilvl w:val="0"/>
          <w:numId w:val="1"/>
        </w:numPr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 has been fixed with this release.</w:t>
      </w:r>
      <w:r/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tbl>
      <w:tblPr>
        <w:tblW w:w="9359" w:type="dxa"/>
        <w:jc w:val="left"/>
        <w:tblInd w:w="-1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8"/>
        <w:gridCol w:w="3377"/>
        <w:gridCol w:w="906"/>
        <w:gridCol w:w="1124"/>
        <w:gridCol w:w="2994"/>
      </w:tblGrid>
      <w:tr>
        <w:trPr>
          <w:tblHeader w:val="true"/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2"/>
                <w:sz w:val="22"/>
                <w:szCs w:val="22"/>
                <w:rFonts w:eastAsia="Arial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155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>Mesa production go live issues</w:t>
            </w:r>
            <w:r/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FIXED</w:t>
            </w:r>
            <w:r/>
          </w:p>
        </w:tc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 xml:space="preserve">Issues with convert media type, update layout and deleting part in configurable kits. </w:t>
            </w:r>
            <w:r/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v1.21</w:t>
    </w:r>
    <w:r>
      <w:rPr>
        <w:b/>
        <w:bCs/>
      </w:rPr>
      <w:t>b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2015-01-20T19:32:02Z</dcterms:modified>
  <cp:revision>22</cp:revision>
</cp:coreProperties>
</file>