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0"/>
          <w:sz w:val="48"/>
        </w:rPr>
        <w:t>Virtual KO/OE Disease Atlas</w:t>
      </w:r>
    </w:p>
    <w:p>
      <w:pPr>
        <w:jc w:val="center"/>
      </w:pPr>
      <w:r>
        <w:rPr>
          <w:i/>
          <w:color w:val="4A4A4A"/>
          <w:sz w:val="28"/>
        </w:rPr>
        <w:t>A Pre-computed Mendelian Randomization Resource for Causal Gene–Disease Inference and In-silico Perturbation</w:t>
      </w:r>
    </w:p>
    <w:p/>
    <w:p>
      <w:pPr>
        <w:jc w:val="center"/>
      </w:pPr>
      <w:r>
        <w:rPr>
          <w:b/>
        </w:rPr>
        <w:t>Jianli Zhao</w:t>
        <w:br/>
      </w:r>
      <w:r>
        <w:t>University of Alabama at Birmingham</w:t>
        <w:br/>
        <w:t>Hugging Face: @jianlizhao  ·  GitHub: @jimmyuab</w:t>
        <w:br/>
        <w:t xml:space="preserve">Live application: </w:t>
      </w:r>
      <w:hyperlink r:id="rId9">
        <w:r>
          <w:rPr>
            <w:color w:val="1F6FEB"/>
            <w:u w:val="single"/>
          </w:rPr>
          <w:t xml:space="preserve">https://is.gd/virtual_gene_atlas</w:t>
        </w:r>
      </w:hyperlink>
    </w:p>
    <w:p/>
    <w:p>
      <w:r>
        <w:rPr>
          <w:color w:val="CCCCCC"/>
        </w:rPr>
        <w:t>───────────────</w:t>
      </w:r>
    </w:p>
    <w:p/>
    <w:p>
      <w:pPr>
        <w:jc w:val="center"/>
      </w:pPr>
      <w:r>
        <w:rPr>
          <w:color w:val="CCCCCC"/>
        </w:rPr>
        <w:t>───────────────</w:t>
      </w:r>
    </w:p>
    <w:p>
      <w:pPr>
        <w:pStyle w:val="Heading2"/>
      </w:pPr>
      <w:r>
        <w:rPr>
          <w:b w:val="0"/>
          <w:i w:val="0"/>
        </w:rPr>
        <w:t>Abstract</w:t>
      </w:r>
    </w:p>
    <w:p>
      <w:r>
        <w:rPr>
          <w:b/>
          <w:i w:val="0"/>
        </w:rPr>
        <w:t>Background.</w:t>
      </w:r>
      <w:r>
        <w:rPr>
          <w:b w:val="0"/>
          <w:i w:val="0"/>
        </w:rPr>
        <w:t xml:space="preserve"> Identifying which human genes causally influence disease risk — and predicting the consequences of perturbing them — is a foundational question in translational medicine. Conventional Mendelian Randomization (MR) analyses provide causal inference for one gene–disease pair at a time, requiring substantial computational effort and statistical expertise per query. This limits routine use by bench scientists, clinicians, and drug-development teams who would otherwise benefit from rapid causal evidence at the point of hypothesis generation.</w:t>
      </w:r>
    </w:p>
    <w:p>
      <w:r>
        <w:rPr>
          <w:b/>
          <w:i w:val="0"/>
        </w:rPr>
        <w:t>Methods.</w:t>
      </w:r>
      <w:r>
        <w:rPr>
          <w:b w:val="0"/>
          <w:i w:val="0"/>
        </w:rPr>
        <w:t xml:space="preserve"> We constructed the </w:t>
      </w:r>
      <w:r>
        <w:rPr>
          <w:b/>
          <w:i w:val="0"/>
        </w:rPr>
        <w:t>Virtual KO/OE Disease Atlas</w:t>
      </w:r>
      <w:r>
        <w:rPr>
          <w:b w:val="0"/>
          <w:i w:val="0"/>
        </w:rPr>
        <w:t xml:space="preserve">, a pre-computed Mendelian-Randomization resource that systematically estimates the causal effect of every protein-coding human gene (n = 19,296 HGNC symbols) on a curated panel of GWAS-Catalog disease outcomes (n = 374 studies across eight disease categories). For each of the 7,216,704 gene × disease pairs, the resource reports the inverse-variance-weighted (IVW) MR causal estimate, its standard error and p-value, and parametric Monte-Carlo simulations of </w:t>
      </w:r>
      <w:r>
        <w:rPr>
          <w:b/>
          <w:i w:val="0"/>
        </w:rPr>
        <w:t>50 % expression knockdown (KO)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50 % overexpression (OE)</w:t>
      </w:r>
      <w:r>
        <w:rPr>
          <w:b w:val="0"/>
          <w:i w:val="0"/>
        </w:rPr>
        <w:t xml:space="preserve"> scenarios — emulating </w:t>
      </w:r>
      <w:r>
        <w:rPr>
          <w:b w:val="0"/>
          <w:i/>
        </w:rPr>
        <w:t>in-silico</w:t>
      </w:r>
      <w:r>
        <w:rPr>
          <w:b w:val="0"/>
          <w:i w:val="0"/>
        </w:rPr>
        <w:t xml:space="preserve"> the directional effects of inhibitor and agonist drug classes. Results are stored as columnar parquet files and exposed through a public Gradio web interface with three input modalities (single gene, pasted list, file upload) and on-demand publication-style volcano and faceted KD/OE figures with biological-meaning legends.</w:t>
      </w:r>
    </w:p>
    <w:p>
      <w:r>
        <w:rPr>
          <w:b/>
          <w:i w:val="0"/>
        </w:rPr>
        <w:t>Results.</w:t>
      </w:r>
      <w:r>
        <w:rPr>
          <w:b w:val="0"/>
          <w:i w:val="0"/>
        </w:rPr>
        <w:t xml:space="preserve"> The resource is browsable at &lt;https://is.gd/virtual_gene_atlas&gt;. A query (one gene or up to thousands) returns highlighted figures plus a downloadable result table in under one second. The disease metadata panel automatically surfaces study population, sample size, ancestry composition, case/control split, PubMed reference, and direct links to the GWAS Catalog and OpenGWAS.</w:t>
      </w:r>
    </w:p>
    <w:p>
      <w:r>
        <w:rPr>
          <w:b/>
          <w:i w:val="0"/>
        </w:rPr>
        <w:t>Conclusion.</w:t>
      </w:r>
      <w:r>
        <w:rPr>
          <w:b w:val="0"/>
          <w:i w:val="0"/>
        </w:rPr>
        <w:t xml:space="preserve"> By moving causal inference and perturbation prediction from a hypothesis-by-hypothesis exercise to an at-a-glance lookup, the Atlas enables non-statisticians to integrate population-scale causal evidence into target prioritization, biomarker discovery, and translational research workflows.</w:t>
      </w:r>
    </w:p>
    <w:p>
      <w:pPr>
        <w:jc w:val="center"/>
      </w:pPr>
      <w:r>
        <w:rPr>
          <w:color w:val="CCCCCC"/>
        </w:rPr>
        <w:t>───────────────</w:t>
      </w:r>
    </w:p>
    <w:p>
      <w:pPr>
        <w:pStyle w:val="Heading2"/>
      </w:pPr>
      <w:r>
        <w:rPr>
          <w:b w:val="0"/>
          <w:i w:val="0"/>
        </w:rPr>
        <w:t>1. Background and motivation</w:t>
      </w:r>
    </w:p>
    <w:p>
      <w:pPr>
        <w:pStyle w:val="Heading3"/>
      </w:pPr>
      <w:r>
        <w:rPr>
          <w:b w:val="0"/>
          <w:i w:val="0"/>
        </w:rPr>
        <w:t>1.1 The translational gap in genetic causal inference</w:t>
      </w:r>
    </w:p>
    <w:p>
      <w:r>
        <w:rPr>
          <w:b w:val="0"/>
          <w:i w:val="0"/>
        </w:rPr>
        <w:t xml:space="preserve">Genome-wide association studies (GWAS) have catalogued tens of thousands of genetic loci associated with human disease, but </w:t>
      </w:r>
      <w:r>
        <w:rPr>
          <w:b/>
          <w:i w:val="0"/>
        </w:rPr>
        <w:t>association is not causation</w:t>
      </w:r>
      <w:r>
        <w:rPr>
          <w:b w:val="0"/>
          <w:i w:val="0"/>
        </w:rPr>
        <w:t xml:space="preserve">. Pleiotropy, linkage disequilibrium, and confounding routinely produce spurious correlations. Mendelian Randomization (MR) addresses this by leveraging the random assortment of germline variants at meiosis — using SNPs as </w:t>
      </w:r>
      <w:r>
        <w:rPr>
          <w:b/>
          <w:i w:val="0"/>
        </w:rPr>
        <w:t>instrumental variables</w:t>
      </w:r>
      <w:r>
        <w:rPr>
          <w:b w:val="0"/>
          <w:i w:val="0"/>
        </w:rPr>
        <w:t xml:space="preserve"> that are, by construction, independent of common confounders (Smith &amp; Ebrahim, 2003; Davey Smith &amp; Hemani, 2014).</w:t>
      </w:r>
    </w:p>
    <w:p>
      <w:r>
        <w:rPr>
          <w:b w:val="0"/>
          <w:i w:val="0"/>
        </w:rPr>
        <w:t>Yet MR analyses remain technically demanding:</w:t>
      </w:r>
    </w:p>
    <w:p>
      <w:pPr>
        <w:pStyle w:val="ListNumber"/>
        <w:spacing w:after="40"/>
      </w:pPr>
      <w:r>
        <w:rPr>
          <w:b/>
          <w:i w:val="0"/>
        </w:rPr>
        <w:t>Instrument selection</w:t>
      </w:r>
      <w:r>
        <w:rPr>
          <w:b w:val="0"/>
          <w:i w:val="0"/>
        </w:rPr>
        <w:t xml:space="preserve"> requires curating SNPs with strong gene-expression evidence (cis-eQTLs) while avoiding pleiotropic violations.</w:t>
      </w:r>
    </w:p>
    <w:p>
      <w:pPr>
        <w:pStyle w:val="ListNumber"/>
        <w:spacing w:after="40"/>
      </w:pPr>
      <w:r>
        <w:rPr>
          <w:b/>
          <w:i w:val="0"/>
        </w:rPr>
        <w:t>Outcome harmonization</w:t>
      </w:r>
      <w:r>
        <w:rPr>
          <w:b w:val="0"/>
          <w:i w:val="0"/>
        </w:rPr>
        <w:t xml:space="preserve"> demands matching effect alleles and imputation quality between the exposure and outcome cohorts.</w:t>
      </w:r>
    </w:p>
    <w:p>
      <w:pPr>
        <w:pStyle w:val="ListNumber"/>
        <w:spacing w:after="40"/>
      </w:pPr>
      <w:r>
        <w:rPr>
          <w:b/>
          <w:i w:val="0"/>
        </w:rPr>
        <w:t>Pipeline assembly</w:t>
      </w:r>
      <w:r>
        <w:rPr>
          <w:b w:val="0"/>
          <w:i w:val="0"/>
        </w:rPr>
        <w:t xml:space="preserve"> (e.g., </w:t>
      </w:r>
      <w:r>
        <w:rPr>
          <w:rFonts w:ascii="Consolas" w:hAnsi="Consolas"/>
          <w:sz w:val="20"/>
        </w:rPr>
        <w:t>TwoSampleMR</w:t>
      </w:r>
      <w:r>
        <w:rPr>
          <w:b w:val="0"/>
          <w:i w:val="0"/>
        </w:rPr>
        <w:t xml:space="preserve">, </w:t>
      </w:r>
      <w:r>
        <w:rPr>
          <w:rFonts w:ascii="Consolas" w:hAnsi="Consolas"/>
          <w:sz w:val="20"/>
        </w:rPr>
        <w:t>MR-Base</w:t>
      </w:r>
      <w:r>
        <w:rPr>
          <w:b w:val="0"/>
          <w:i w:val="0"/>
        </w:rPr>
        <w:t xml:space="preserve">, </w:t>
      </w:r>
      <w:r>
        <w:rPr>
          <w:rFonts w:ascii="Consolas" w:hAnsi="Consolas"/>
          <w:sz w:val="20"/>
        </w:rPr>
        <w:t>MendelianRandomization</w:t>
      </w:r>
      <w:r>
        <w:rPr>
          <w:b w:val="0"/>
          <w:i w:val="0"/>
        </w:rPr>
        <w:t>) carries a significant learning curve.</w:t>
      </w:r>
    </w:p>
    <w:p>
      <w:pPr>
        <w:pStyle w:val="ListNumber"/>
        <w:spacing w:after="40"/>
      </w:pPr>
      <w:r>
        <w:rPr>
          <w:b/>
          <w:i w:val="0"/>
        </w:rPr>
        <w:t>Compute and storage</w:t>
      </w:r>
      <w:r>
        <w:rPr>
          <w:b w:val="0"/>
          <w:i w:val="0"/>
        </w:rPr>
        <w:t xml:space="preserve"> scale linearly with the number of (gene, disease) pairs — typically minutes per pair if outcome summary statistics must be fetched on demand.</w:t>
      </w:r>
    </w:p>
    <w:p>
      <w:r>
        <w:rPr>
          <w:b w:val="0"/>
          <w:i w:val="0"/>
        </w:rPr>
        <w:t xml:space="preserve">These barriers concentrate MR usage in specialized groups. A target-discovery scientist asking "is </w:t>
      </w:r>
      <w:r>
        <w:rPr>
          <w:b w:val="0"/>
          <w:i/>
        </w:rPr>
        <w:t>IL6R</w:t>
      </w:r>
      <w:r>
        <w:rPr>
          <w:b w:val="0"/>
          <w:i w:val="0"/>
        </w:rPr>
        <w:t xml:space="preserve"> a causal driver of rheumatoid arthritis?" or a clinician asking "does </w:t>
      </w:r>
      <w:r>
        <w:rPr>
          <w:b w:val="0"/>
          <w:i/>
        </w:rPr>
        <w:t>APOE</w:t>
      </w:r>
      <w:r>
        <w:rPr>
          <w:b w:val="0"/>
          <w:i w:val="0"/>
        </w:rPr>
        <w:t xml:space="preserve"> protect against late-onset Alzheimer's?" often has no readily available tool.</w:t>
      </w:r>
    </w:p>
    <w:p>
      <w:pPr>
        <w:pStyle w:val="Heading3"/>
      </w:pPr>
      <w:r>
        <w:rPr>
          <w:b w:val="0"/>
          <w:i w:val="0"/>
        </w:rPr>
        <w:t>1.2 The case for a pre-computed atlas</w:t>
      </w:r>
    </w:p>
    <w:p>
      <w:r>
        <w:rPr>
          <w:b w:val="0"/>
          <w:i w:val="0"/>
        </w:rPr>
        <w:t xml:space="preserve">If MR results are pre-computed once across a comprehensive gene × disease grid, </w:t>
      </w:r>
      <w:r>
        <w:rPr>
          <w:b/>
          <w:i w:val="0"/>
        </w:rPr>
        <w:t>every subsequent query becomes a lookup operation</w:t>
      </w:r>
      <w:r>
        <w:rPr>
          <w:b w:val="0"/>
          <w:i w:val="0"/>
        </w:rPr>
        <w:t xml:space="preserve">. The user pays no computational cost and needs no statistical training to retrieve a causal estimate. The Atlas extends this further by adding </w:t>
      </w:r>
      <w:r>
        <w:rPr>
          <w:b/>
          <w:i w:val="0"/>
        </w:rPr>
        <w:t>parametric simulations</w:t>
      </w:r>
      <w:r>
        <w:rPr>
          <w:b w:val="0"/>
          <w:i w:val="0"/>
        </w:rPr>
        <w:t xml:space="preserve"> of pharmacological perturbations — directly answering the actionable question "if I were to inhibit (or activate) this gene, what would I expect to happen to disease risk?"</w:t>
      </w:r>
    </w:p>
    <w:p>
      <w:pPr>
        <w:jc w:val="center"/>
      </w:pPr>
      <w:r>
        <w:rPr>
          <w:color w:val="CCCCCC"/>
        </w:rPr>
        <w:t>───────────────</w:t>
      </w:r>
    </w:p>
    <w:p>
      <w:pPr>
        <w:pStyle w:val="Heading2"/>
      </w:pPr>
      <w:r>
        <w:rPr>
          <w:b w:val="0"/>
          <w:i w:val="0"/>
        </w:rPr>
        <w:t>2. Methods</w:t>
      </w:r>
    </w:p>
    <w:p>
      <w:pPr>
        <w:pStyle w:val="Heading3"/>
      </w:pPr>
      <w:r>
        <w:rPr>
          <w:b w:val="0"/>
          <w:i w:val="0"/>
        </w:rPr>
        <w:t>2.1 Gene catalog</w:t>
      </w:r>
    </w:p>
    <w:p>
      <w:r>
        <w:rPr>
          <w:b w:val="0"/>
          <w:i w:val="0"/>
        </w:rPr>
        <w:t>All HGNC-approved human gene symbols were retrieved from the canonical complete-set distribution (</w:t>
      </w:r>
      <w:r>
        <w:rPr>
          <w:rFonts w:ascii="Consolas" w:hAnsi="Consolas"/>
          <w:sz w:val="20"/>
        </w:rPr>
        <w:t>hgnc_complete_set.txt</w:t>
      </w:r>
      <w:r>
        <w:rPr>
          <w:b w:val="0"/>
          <w:i w:val="0"/>
        </w:rPr>
        <w:t xml:space="preserve">, n = 44,986 symbols at time of build). The Atlas restricts analysis to the </w:t>
      </w:r>
      <w:r>
        <w:rPr>
          <w:b/>
          <w:i w:val="0"/>
        </w:rPr>
        <w:t>19,296 protein-coding genes</w:t>
      </w:r>
      <w:r>
        <w:rPr>
          <w:b w:val="0"/>
          <w:i w:val="0"/>
        </w:rPr>
        <w:t xml:space="preserve"> (</w:t>
      </w:r>
      <w:r>
        <w:rPr>
          <w:rFonts w:ascii="Consolas" w:hAnsi="Consolas"/>
          <w:sz w:val="20"/>
        </w:rPr>
        <w:t>locus_group == "protein-coding gene"</w:t>
      </w:r>
      <w:r>
        <w:rPr>
          <w:b w:val="0"/>
          <w:i w:val="0"/>
        </w:rPr>
        <w:t>) for which target-pharmacology interventions are biologically plausible.</w:t>
      </w:r>
    </w:p>
    <w:p>
      <w:pPr>
        <w:pStyle w:val="Heading3"/>
      </w:pPr>
      <w:r>
        <w:rPr>
          <w:b w:val="0"/>
          <w:i w:val="0"/>
        </w:rPr>
        <w:t>2.2 Disease catalog</w:t>
      </w:r>
    </w:p>
    <w:p>
      <w:r>
        <w:rPr>
          <w:b w:val="0"/>
          <w:i w:val="0"/>
        </w:rPr>
        <w:t>The EBI GWAS Catalog (release used in this study contains 89,981 study accessions across 18 EFO parent categories) provides published GWAS summary statistics with curated metadata. To produce a manageable yet representative panel, we applied three filters:</w:t>
      </w:r>
    </w:p>
    <w:p>
      <w:pPr>
        <w:pStyle w:val="ListNumber"/>
        <w:spacing w:after="40"/>
      </w:pPr>
      <w:r>
        <w:rPr>
          <w:b/>
          <w:i w:val="0"/>
        </w:rPr>
        <w:t>Disease-relevant categories only.</w:t>
      </w:r>
      <w:r>
        <w:rPr>
          <w:b w:val="0"/>
          <w:i w:val="0"/>
        </w:rPr>
        <w:t xml:space="preserve"> We retained the eight clinically meaningful parent categories: </w:t>
      </w:r>
      <w:r>
        <w:rPr>
          <w:b w:val="0"/>
          <w:i/>
        </w:rPr>
        <w:t>Cancer</w:t>
      </w:r>
      <w:r>
        <w:rPr>
          <w:b w:val="0"/>
          <w:i w:val="0"/>
        </w:rPr>
        <w:t xml:space="preserve">, </w:t>
      </w:r>
      <w:r>
        <w:rPr>
          <w:b w:val="0"/>
          <w:i/>
        </w:rPr>
        <w:t>Cardiovascular disease</w:t>
      </w:r>
      <w:r>
        <w:rPr>
          <w:b w:val="0"/>
          <w:i w:val="0"/>
        </w:rPr>
        <w:t xml:space="preserve">, </w:t>
      </w:r>
      <w:r>
        <w:rPr>
          <w:b w:val="0"/>
          <w:i/>
        </w:rPr>
        <w:t>Neurological disorder</w:t>
      </w:r>
      <w:r>
        <w:rPr>
          <w:b w:val="0"/>
          <w:i w:val="0"/>
        </w:rPr>
        <w:t xml:space="preserve">, </w:t>
      </w:r>
      <w:r>
        <w:rPr>
          <w:b w:val="0"/>
          <w:i/>
        </w:rPr>
        <w:t>Immune system disorder</w:t>
      </w:r>
      <w:r>
        <w:rPr>
          <w:b w:val="0"/>
          <w:i w:val="0"/>
        </w:rPr>
        <w:t xml:space="preserve">, </w:t>
      </w:r>
      <w:r>
        <w:rPr>
          <w:b w:val="0"/>
          <w:i/>
        </w:rPr>
        <w:t>Metabolic disorder</w:t>
      </w:r>
      <w:r>
        <w:rPr>
          <w:b w:val="0"/>
          <w:i w:val="0"/>
        </w:rPr>
        <w:t xml:space="preserve">, </w:t>
      </w:r>
      <w:r>
        <w:rPr>
          <w:b w:val="0"/>
          <w:i/>
        </w:rPr>
        <w:t>Digestive system disorder</w:t>
      </w:r>
      <w:r>
        <w:rPr>
          <w:b w:val="0"/>
          <w:i w:val="0"/>
        </w:rPr>
        <w:t xml:space="preserve">, </w:t>
      </w:r>
      <w:r>
        <w:rPr>
          <w:b w:val="0"/>
          <w:i/>
        </w:rPr>
        <w:t>Inflammatory measurement</w:t>
      </w:r>
      <w:r>
        <w:rPr>
          <w:b w:val="0"/>
          <w:i w:val="0"/>
        </w:rPr>
        <w:t xml:space="preserve">, and </w:t>
      </w:r>
      <w:r>
        <w:rPr>
          <w:b w:val="0"/>
          <w:i/>
        </w:rPr>
        <w:t>Other disease</w:t>
      </w:r>
      <w:r>
        <w:rPr>
          <w:b w:val="0"/>
          <w:i w:val="0"/>
        </w:rPr>
        <w:t>. Pure quantitative-trait measurements (e.g., height, blood pressure) were excluded as not constituting diseases per se.</w:t>
      </w:r>
    </w:p>
    <w:p>
      <w:pPr>
        <w:pStyle w:val="ListNumber"/>
        <w:spacing w:after="40"/>
      </w:pPr>
      <w:r>
        <w:rPr>
          <w:b/>
          <w:i w:val="0"/>
        </w:rPr>
        <w:t>Minimum statistical informativeness.</w:t>
      </w:r>
      <w:r>
        <w:rPr>
          <w:b w:val="0"/>
          <w:i w:val="0"/>
        </w:rPr>
        <w:t xml:space="preserve"> Studies with fewer than 10 genome-wide-significant associations (</w:t>
      </w:r>
      <w:r>
        <w:rPr>
          <w:rFonts w:ascii="Consolas" w:hAnsi="Consolas"/>
          <w:sz w:val="20"/>
        </w:rPr>
        <w:t>P &lt; 5×10⁻⁸</w:t>
      </w:r>
      <w:r>
        <w:rPr>
          <w:b w:val="0"/>
          <w:i w:val="0"/>
        </w:rPr>
        <w:t>) in the original publication were excluded.</w:t>
      </w:r>
    </w:p>
    <w:p>
      <w:pPr>
        <w:pStyle w:val="ListNumber"/>
        <w:spacing w:after="40"/>
      </w:pPr>
      <w:r>
        <w:rPr>
          <w:b/>
          <w:i w:val="0"/>
        </w:rPr>
        <w:t>Per-category capping.</w:t>
      </w:r>
      <w:r>
        <w:rPr>
          <w:b w:val="0"/>
          <w:i w:val="0"/>
        </w:rPr>
        <w:t xml:space="preserve"> To prevent over-representation of well-studied phenotypes (e.g., coronary artery disease) and to ensure tractable batch-compute time, we retained up to 50 studies per category, prioritizing those with the largest association counts.</w:t>
      </w:r>
    </w:p>
    <w:p>
      <w:r>
        <w:rPr>
          <w:b w:val="0"/>
          <w:i w:val="0"/>
        </w:rPr>
        <w:t xml:space="preserve">The result is a curated panel of </w:t>
      </w:r>
      <w:r>
        <w:rPr>
          <w:b/>
          <w:i w:val="0"/>
        </w:rPr>
        <w:t>374 disease studies</w:t>
      </w:r>
      <w:r>
        <w:rPr>
          <w:b w:val="0"/>
          <w:i w:val="0"/>
        </w:rPr>
        <w:t>, each linked to its EFO term, PubMed reference, sample size, ancestry composition, and GWAS Catalog identifier.</w:t>
      </w:r>
    </w:p>
    <w:p>
      <w:pPr>
        <w:pStyle w:val="Heading3"/>
      </w:pPr>
      <w:r>
        <w:rPr>
          <w:b w:val="0"/>
          <w:i w:val="0"/>
        </w:rPr>
        <w:t>2.3 Mendelian Randomization pipeline</w:t>
      </w:r>
    </w:p>
    <w:p>
      <w:r>
        <w:rPr>
          <w:b w:val="0"/>
          <w:i w:val="0"/>
        </w:rPr>
        <w:t>For each (gene, disease) pair the resource computes:</w:t>
      </w:r>
    </w:p>
    <w:p>
      <w:pPr>
        <w:pStyle w:val="ListBullet"/>
        <w:spacing w:after="40"/>
      </w:pPr>
      <w:r>
        <w:rPr>
          <w:b/>
          <w:i w:val="0"/>
        </w:rPr>
        <w:t>Instrument strength.</w:t>
      </w:r>
      <w:r>
        <w:rPr>
          <w:b w:val="0"/>
          <w:i w:val="0"/>
        </w:rPr>
        <w:t xml:space="preserve"> Proportion of trait variance explained (PVE) by the cis-eQTL-based instruments at the gene locus.</w:t>
      </w:r>
    </w:p>
    <w:p>
      <w:pPr>
        <w:pStyle w:val="ListBullet"/>
        <w:spacing w:after="40"/>
      </w:pPr>
      <w:r>
        <w:rPr>
          <w:b/>
          <w:i w:val="0"/>
        </w:rPr>
        <w:t>Causal estimate.</w:t>
      </w:r>
      <w:r>
        <w:rPr>
          <w:b w:val="0"/>
          <w:i w:val="0"/>
        </w:rPr>
        <w:t xml:space="preserve"> Inverse-Variance-Weighted (IVW) MR β on the natural-log-odds-ratio scale (Bowden, Davey Smith, &amp; Burgess, 2015).</w:t>
      </w:r>
    </w:p>
    <w:p>
      <w:pPr>
        <w:pStyle w:val="ListBullet"/>
        <w:spacing w:after="40"/>
      </w:pPr>
      <w:r>
        <w:rPr>
          <w:b/>
          <w:i w:val="0"/>
        </w:rPr>
        <w:t>Statistical evidence.</w:t>
      </w:r>
      <w:r>
        <w:rPr>
          <w:b w:val="0"/>
          <w:i w:val="0"/>
        </w:rPr>
        <w:t xml:space="preserve"> Standard error, p-value, and number of harmonized SNPs used (</w:t>
      </w:r>
      <w:r>
        <w:rPr>
          <w:rFonts w:ascii="Consolas" w:hAnsi="Consolas"/>
          <w:sz w:val="20"/>
        </w:rPr>
        <w:t>MR_nsnp</w:t>
      </w:r>
      <w:r>
        <w:rPr>
          <w:b w:val="0"/>
          <w:i w:val="0"/>
        </w:rPr>
        <w:t>).</w:t>
      </w:r>
    </w:p>
    <w:p>
      <w:pPr>
        <w:pStyle w:val="ListBullet"/>
        <w:spacing w:after="40"/>
      </w:pPr>
      <w:r>
        <w:rPr>
          <w:b/>
          <w:i w:val="0"/>
        </w:rPr>
        <w:t>GWAS-significance category.</w:t>
      </w:r>
      <w:r>
        <w:rPr>
          <w:b w:val="0"/>
          <w:i w:val="0"/>
        </w:rPr>
        <w:t xml:space="preserve"> A 4-level bin: (1) genome-wide significant (P &lt; 5×10⁻⁸), (2) suggestive (P &lt; 10⁻⁵), (3) nominal (P &lt; 0.05), (4) no evidence.</w:t>
      </w:r>
    </w:p>
    <w:p>
      <w:r>
        <w:rPr>
          <w:b w:val="0"/>
          <w:i w:val="0"/>
        </w:rPr>
        <w:t xml:space="preserve">The pipeline is architecturally identical to a </w:t>
      </w:r>
      <w:r>
        <w:rPr>
          <w:rFonts w:ascii="Consolas" w:hAnsi="Consolas"/>
          <w:sz w:val="20"/>
        </w:rPr>
        <w:t>TwoSampleMR::mr()</w:t>
      </w:r>
      <w:r>
        <w:rPr>
          <w:b w:val="0"/>
          <w:i w:val="0"/>
        </w:rPr>
        <w:t xml:space="preserve"> analysis, with the </w:t>
      </w:r>
      <w:r>
        <w:rPr>
          <w:b/>
          <w:i w:val="0"/>
        </w:rPr>
        <w:t>resume-safe, one-pair-at-a-time</w:t>
      </w:r>
      <w:r>
        <w:rPr>
          <w:b w:val="0"/>
          <w:i w:val="0"/>
        </w:rPr>
        <w:t xml:space="preserve"> batch driver allowing interrupted compute jobs to be restarted without loss of progress.</w:t>
      </w:r>
    </w:p>
    <w:p>
      <w:pPr>
        <w:pStyle w:val="Heading3"/>
      </w:pPr>
      <w:r>
        <w:rPr>
          <w:b w:val="0"/>
          <w:i w:val="0"/>
        </w:rPr>
        <w:t xml:space="preserve">2.4 </w:t>
      </w:r>
      <w:r>
        <w:rPr>
          <w:b w:val="0"/>
          <w:i/>
        </w:rPr>
        <w:t>In-silico</w:t>
      </w:r>
      <w:r>
        <w:rPr>
          <w:b w:val="0"/>
          <w:i w:val="0"/>
        </w:rPr>
        <w:t xml:space="preserve"> perturbation simulation</w:t>
      </w:r>
    </w:p>
    <w:p>
      <w:r>
        <w:rPr>
          <w:b w:val="0"/>
          <w:i w:val="0"/>
        </w:rPr>
        <w:t>For each gene with a finite causal estimate, the Atlas simulates two pharmacologically motivated perturbations:</w:t>
      </w:r>
    </w:p>
    <w:p>
      <w:pPr>
        <w:pStyle w:val="ListBullet"/>
        <w:spacing w:after="40"/>
      </w:pPr>
      <w:r>
        <w:rPr>
          <w:b/>
          <w:i w:val="0"/>
        </w:rPr>
        <w:t>Knockdown (KO):</w:t>
      </w:r>
      <w:r>
        <w:rPr>
          <w:b w:val="0"/>
          <w:i w:val="0"/>
        </w:rPr>
        <w:t xml:space="preserve"> the gene's contribution to disease risk under a hypothetical 50 % reduction in expression, modeled as </w:t>
      </w:r>
      <w:r>
        <w:rPr>
          <w:rFonts w:ascii="Consolas" w:hAnsi="Consolas"/>
          <w:sz w:val="20"/>
        </w:rPr>
        <w:t>β_KO = β × (1 − 0.5)</w:t>
      </w:r>
      <w:r>
        <w:rPr>
          <w:b w:val="0"/>
          <w:i w:val="0"/>
        </w:rPr>
        <w:t>.</w:t>
      </w:r>
    </w:p>
    <w:p>
      <w:pPr>
        <w:pStyle w:val="ListBullet"/>
        <w:spacing w:after="40"/>
      </w:pPr>
      <w:r>
        <w:rPr>
          <w:b/>
          <w:i w:val="0"/>
        </w:rPr>
        <w:t>Overexpression (OE):</w:t>
      </w:r>
      <w:r>
        <w:rPr>
          <w:b w:val="0"/>
          <w:i w:val="0"/>
        </w:rPr>
        <w:t xml:space="preserve"> the analogous 50 % expression boost, modeled as </w:t>
      </w:r>
      <w:r>
        <w:rPr>
          <w:rFonts w:ascii="Consolas" w:hAnsi="Consolas"/>
          <w:sz w:val="20"/>
        </w:rPr>
        <w:t>β_OE = β × (1 + 0.5)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For each perturbation, the resource generates </w:t>
      </w:r>
      <w:r>
        <w:rPr>
          <w:b/>
          <w:i w:val="0"/>
        </w:rPr>
        <w:t>N = 1,000 Monte Carlo replicates</w:t>
      </w:r>
      <w:r>
        <w:rPr>
          <w:b w:val="0"/>
          <w:i w:val="0"/>
        </w:rPr>
        <w:t xml:space="preserve"> drawing from a Gaussian centered at the simulated effect with standard deviation equal to the MR standard error. The median p-value across replicates is reported; this is more robust than a single point estimate to numerical fragility near the boundary.</w:t>
      </w:r>
    </w:p>
    <w:p>
      <w:r>
        <w:rPr>
          <w:b w:val="0"/>
          <w:i w:val="0"/>
        </w:rPr>
        <w:t>The 50 % perturbation fraction was chosen as a clinically meaningful midpoint — comparable in magnitude to a moderately potent therapeutic. The fraction is configurable in the batch script for sensitivity analyses.</w:t>
      </w:r>
    </w:p>
    <w:p>
      <w:pPr>
        <w:pStyle w:val="Heading3"/>
      </w:pPr>
      <w:r>
        <w:rPr>
          <w:b w:val="0"/>
          <w:i w:val="0"/>
        </w:rPr>
        <w:t>2.5 Priority score</w:t>
      </w:r>
    </w:p>
    <w:p>
      <w:r>
        <w:rPr>
          <w:b w:val="0"/>
          <w:i w:val="0"/>
        </w:rPr>
        <w:t>To support rapid triage of large gene lists, each (gene, disease) row is assigned a composite priority score on [0, 1]:</w:t>
      </w:r>
    </w:p>
    <w:p>
      <w:pPr>
        <w:spacing w:before="80" w:after="80"/>
        <w:ind w:left="360"/>
      </w:pPr>
      <w:r>
        <w:rPr>
          <w:rFonts w:ascii="Consolas" w:hAnsi="Consolas"/>
          <w:sz w:val="19"/>
        </w:rPr>
        <w:t>priority_score = min(1.0, −log₁₀(MR_pval) / 20)</w:t>
      </w:r>
    </w:p>
    <w:p>
      <w:r>
        <w:rPr>
          <w:b w:val="0"/>
          <w:i w:val="0"/>
        </w:rPr>
        <w:t>This monotonic transformation maps a p-value of 1 to 0.00, 10⁻⁶ (Bonferroni-significant for ~20,000 tests) to ~0.30, 10⁻¹⁶ to ~0.80, and ≤10⁻²⁰ to 1.00. Users are encouraged to sort the result table by priority score for first-pass screening but should consult the underlying β, p-value, and instrument strength before drawing biological conclusions.</w:t>
      </w:r>
    </w:p>
    <w:p>
      <w:pPr>
        <w:pStyle w:val="Heading3"/>
      </w:pPr>
      <w:r>
        <w:rPr>
          <w:b w:val="0"/>
          <w:i w:val="0"/>
        </w:rPr>
        <w:t>2.6 Visualization</w:t>
      </w:r>
    </w:p>
    <w:p>
      <w:r>
        <w:rPr>
          <w:b w:val="0"/>
          <w:i w:val="0"/>
        </w:rPr>
        <w:t xml:space="preserve">All figures are generated on demand from the pre-computed parquet store using a shared Python plotting module designed to reproduce the visual conventions of </w:t>
      </w:r>
      <w:r>
        <w:rPr>
          <w:rFonts w:ascii="Consolas" w:hAnsi="Consolas"/>
          <w:sz w:val="20"/>
        </w:rPr>
        <w:t>ggplot2</w:t>
      </w:r>
      <w:r>
        <w:rPr>
          <w:b w:val="0"/>
          <w:i w:val="0"/>
        </w:rPr>
        <w:t xml:space="preserve"> / </w:t>
      </w:r>
      <w:r>
        <w:rPr>
          <w:rFonts w:ascii="Consolas" w:hAnsi="Consolas"/>
          <w:sz w:val="20"/>
        </w:rPr>
        <w:t>theme_classic()</w:t>
      </w:r>
      <w:r>
        <w:rPr>
          <w:b w:val="0"/>
          <w:i w:val="0"/>
        </w:rPr>
        <w:t xml:space="preserve"> while running under </w:t>
      </w:r>
      <w:r>
        <w:rPr>
          <w:rFonts w:ascii="Consolas" w:hAnsi="Consolas"/>
          <w:sz w:val="20"/>
        </w:rPr>
        <w:t>matplotlib</w:t>
      </w:r>
      <w:r>
        <w:rPr>
          <w:b w:val="0"/>
          <w:i w:val="0"/>
        </w:rPr>
        <w:t>. Two figure types are produced per query:</w:t>
      </w:r>
    </w:p>
    <w:p>
      <w:r>
        <w:rPr>
          <w:b/>
          <w:i w:val="0"/>
        </w:rPr>
        <w:t>MR volcano plot.</w:t>
      </w:r>
      <w:r>
        <w:rPr>
          <w:b w:val="0"/>
          <w:i w:val="0"/>
        </w:rPr>
        <w:t xml:space="preserve"> Each gene is plotted as a point at (</w:t>
      </w:r>
      <w:r>
        <w:rPr>
          <w:rFonts w:ascii="Consolas" w:hAnsi="Consolas"/>
          <w:sz w:val="20"/>
        </w:rPr>
        <w:t>ln OR</w:t>
      </w:r>
      <w:r>
        <w:rPr>
          <w:b w:val="0"/>
          <w:i w:val="0"/>
        </w:rPr>
        <w:t xml:space="preserve">, </w:t>
      </w:r>
      <w:r>
        <w:rPr>
          <w:rFonts w:ascii="Consolas" w:hAnsi="Consolas"/>
          <w:sz w:val="20"/>
        </w:rPr>
        <w:t>−log₁₀ P</w:t>
      </w:r>
      <w:r>
        <w:rPr>
          <w:b w:val="0"/>
          <w:i w:val="0"/>
        </w:rPr>
        <w:t>). Color encodes biological direction: 🟢 forestgreen for protective effects (</w:t>
      </w:r>
      <w:r>
        <w:rPr>
          <w:rFonts w:ascii="Consolas" w:hAnsi="Consolas"/>
          <w:sz w:val="20"/>
        </w:rPr>
        <w:t>β &lt; 0</w:t>
      </w:r>
      <w:r>
        <w:rPr>
          <w:b w:val="0"/>
          <w:i w:val="0"/>
        </w:rPr>
        <w:t>), 🔴 red (</w:t>
      </w:r>
      <w:r>
        <w:rPr>
          <w:rFonts w:ascii="Consolas" w:hAnsi="Consolas"/>
          <w:sz w:val="20"/>
        </w:rPr>
        <w:t>#D62728</w:t>
      </w:r>
      <w:r>
        <w:rPr>
          <w:b w:val="0"/>
          <w:i w:val="0"/>
        </w:rPr>
        <w:t>) for risk effects (</w:t>
      </w:r>
      <w:r>
        <w:rPr>
          <w:rFonts w:ascii="Consolas" w:hAnsi="Consolas"/>
          <w:sz w:val="20"/>
        </w:rPr>
        <w:t>β &gt; 0</w:t>
      </w:r>
      <w:r>
        <w:rPr>
          <w:b w:val="0"/>
          <w:i w:val="0"/>
        </w:rPr>
        <w:t xml:space="preserve">), grey for null. Point size scales with PVE. Reference lines mark </w:t>
      </w:r>
      <w:r>
        <w:rPr>
          <w:rFonts w:ascii="Consolas" w:hAnsi="Consolas"/>
          <w:sz w:val="20"/>
        </w:rPr>
        <w:t>P = 0.05</w:t>
      </w:r>
      <w:r>
        <w:rPr>
          <w:b w:val="0"/>
          <w:i w:val="0"/>
        </w:rPr>
        <w:t xml:space="preserve"> (dotted) and the Bonferroni-corrected threshold for the number of genes tested (dashed). The user-queried gene receives a bright orange double ring for visual salience. Labels are color-matched to their points and repulsed via </w:t>
      </w:r>
      <w:r>
        <w:rPr>
          <w:rFonts w:ascii="Consolas" w:hAnsi="Consolas"/>
          <w:sz w:val="20"/>
        </w:rPr>
        <w:t>adjustText</w:t>
      </w:r>
      <w:r>
        <w:rPr>
          <w:b w:val="0"/>
          <w:i w:val="0"/>
        </w:rPr>
        <w:t xml:space="preserve"> to avoid overlap.</w:t>
      </w:r>
    </w:p>
    <w:p>
      <w:r>
        <w:rPr>
          <w:b/>
          <w:i w:val="0"/>
        </w:rPr>
        <w:t>Faceted knockdown / overexpression simulation.</w:t>
      </w:r>
      <w:r>
        <w:rPr>
          <w:b w:val="0"/>
          <w:i w:val="0"/>
        </w:rPr>
        <w:t xml:space="preserve"> Two side-by-side panels (</w:t>
      </w:r>
      <w:r>
        <w:rPr>
          <w:rFonts w:ascii="Consolas" w:hAnsi="Consolas"/>
          <w:sz w:val="20"/>
        </w:rPr>
        <w:t>Knockdown</w:t>
      </w:r>
      <w:r>
        <w:rPr>
          <w:b w:val="0"/>
          <w:i w:val="0"/>
        </w:rPr>
        <w:t xml:space="preserve"> | </w:t>
      </w:r>
      <w:r>
        <w:rPr>
          <w:rFonts w:ascii="Consolas" w:hAnsi="Consolas"/>
          <w:sz w:val="20"/>
        </w:rPr>
        <w:t>Overexpression</w:t>
      </w:r>
      <w:r>
        <w:rPr>
          <w:b w:val="0"/>
          <w:i w:val="0"/>
        </w:rPr>
        <w:t>) share a y-axis. The same color semantics extend directly to interpretation: a green dot in the KO panel indicates that inhibiting the gene lowers disease risk (therapeutic for an antagonist drug class), whereas a green dot in the OE panel indicates that activation is therapeutic. Reference lines and the queried-gene highlight are preserved across panels.</w:t>
      </w:r>
    </w:p>
    <w:p>
      <w:pPr>
        <w:pStyle w:val="Heading3"/>
      </w:pPr>
      <w:r>
        <w:rPr>
          <w:b w:val="0"/>
          <w:i w:val="0"/>
        </w:rPr>
        <w:t>2.7 Web interface</w:t>
      </w:r>
    </w:p>
    <w:p>
      <w:r>
        <w:rPr>
          <w:b w:val="0"/>
          <w:i w:val="0"/>
        </w:rPr>
        <w:t>The user-facing interface is a Gradio (v6.14) application deployed on Hugging Face Spaces. Three input modalities are supported:</w:t>
      </w:r>
    </w:p>
    <w:p>
      <w:pPr>
        <w:pStyle w:val="ListNumber"/>
        <w:spacing w:after="40"/>
      </w:pPr>
      <w:r>
        <w:rPr>
          <w:b/>
          <w:i w:val="0"/>
        </w:rPr>
        <w:t>Single gene</w:t>
      </w:r>
      <w:r>
        <w:rPr>
          <w:b w:val="0"/>
          <w:i w:val="0"/>
        </w:rPr>
        <w:t xml:space="preserve"> via a filterable HGNC type-ahead dropdown.</w:t>
      </w:r>
    </w:p>
    <w:p>
      <w:pPr>
        <w:pStyle w:val="ListNumber"/>
        <w:spacing w:after="40"/>
      </w:pPr>
      <w:r>
        <w:rPr>
          <w:b/>
          <w:i w:val="0"/>
        </w:rPr>
        <w:t>Multiple genes</w:t>
      </w:r>
      <w:r>
        <w:rPr>
          <w:b w:val="0"/>
          <w:i w:val="0"/>
        </w:rPr>
        <w:t xml:space="preserve"> by pasting a free-form list (any whitespace, comma, semicolon, or newline-separated).</w:t>
      </w:r>
    </w:p>
    <w:p>
      <w:pPr>
        <w:pStyle w:val="ListNumber"/>
        <w:spacing w:after="40"/>
      </w:pPr>
      <w:r>
        <w:rPr>
          <w:b/>
          <w:i w:val="0"/>
        </w:rPr>
        <w:t>CSV / TSV upload</w:t>
      </w:r>
      <w:r>
        <w:rPr>
          <w:b w:val="0"/>
          <w:i w:val="0"/>
        </w:rPr>
        <w:t xml:space="preserve"> with automatic gene-column detection.</w:t>
      </w:r>
    </w:p>
    <w:p>
      <w:r>
        <w:rPr>
          <w:b w:val="0"/>
          <w:i w:val="0"/>
        </w:rPr>
        <w:t>A disease-metadata panel auto-populates on disease selection, surfacing total sample size, ancestry breakdown, case/control split, and direct links to the PubMed record, GWAS Catalog study page, and OpenGWAS dataset.</w:t>
      </w:r>
    </w:p>
    <w:p>
      <w:pPr>
        <w:pStyle w:val="Heading3"/>
      </w:pPr>
      <w:r>
        <w:rPr>
          <w:b w:val="0"/>
          <w:i w:val="0"/>
        </w:rPr>
        <w:t>2.8 Reproducibility</w:t>
      </w:r>
    </w:p>
    <w:p>
      <w:r>
        <w:rPr>
          <w:b w:val="0"/>
          <w:i w:val="0"/>
        </w:rPr>
        <w:t>All source code, parquet result files (via Git Large File Storage), and documentation are publicly available:</w:t>
      </w:r>
    </w:p>
    <w:p>
      <w:pPr>
        <w:pStyle w:val="ListBullet"/>
        <w:spacing w:after="40"/>
      </w:pPr>
      <w:r>
        <w:rPr>
          <w:b/>
          <w:i w:val="0"/>
        </w:rPr>
        <w:t>Live app:</w:t>
      </w:r>
      <w:r>
        <w:rPr>
          <w:b w:val="0"/>
          <w:i w:val="0"/>
        </w:rPr>
        <w:t xml:space="preserve"> &lt;https://is.gd/virtual_gene_atlas&gt;</w:t>
      </w:r>
    </w:p>
    <w:p>
      <w:pPr>
        <w:pStyle w:val="ListBullet"/>
        <w:spacing w:after="40"/>
      </w:pPr>
      <w:r>
        <w:rPr>
          <w:b/>
          <w:i w:val="0"/>
        </w:rPr>
        <w:t>Hugging Face Space (code + data):</w:t>
      </w:r>
      <w:r>
        <w:rPr>
          <w:b w:val="0"/>
          <w:i w:val="0"/>
        </w:rPr>
        <w:t xml:space="preserve"> &lt;https://huggingface.co/spaces/jianlizhao/GeneDisease-MR-Browser&gt;</w:t>
      </w:r>
    </w:p>
    <w:p>
      <w:pPr>
        <w:pStyle w:val="ListBullet"/>
        <w:spacing w:after="40"/>
      </w:pPr>
      <w:r>
        <w:rPr>
          <w:b/>
          <w:i w:val="0"/>
        </w:rPr>
        <w:t>Documentation:</w:t>
      </w:r>
      <w:r>
        <w:rPr>
          <w:b w:val="0"/>
          <w:i w:val="0"/>
        </w:rPr>
        <w:t xml:space="preserve"> &lt;https://github.com/jimmyuab/Human-Digital-Disease-Model-Virtual-KOE-Disease-Atlas&gt;</w:t>
      </w:r>
    </w:p>
    <w:p>
      <w:pPr>
        <w:jc w:val="center"/>
      </w:pPr>
      <w:r>
        <w:rPr>
          <w:color w:val="CCCCCC"/>
        </w:rPr>
        <w:t>───────────────</w:t>
      </w:r>
    </w:p>
    <w:p>
      <w:pPr>
        <w:pStyle w:val="Heading2"/>
      </w:pPr>
      <w:r>
        <w:rPr>
          <w:b w:val="0"/>
          <w:i w:val="0"/>
        </w:rPr>
        <w:t>3. Novelty</w:t>
      </w:r>
    </w:p>
    <w:p>
      <w:r>
        <w:rPr>
          <w:b w:val="0"/>
          <w:i w:val="0"/>
        </w:rPr>
        <w:t>The Virtual KO/OE Disease Atlas differs from prior MR resources in five concrete ways:</w:t>
      </w:r>
    </w:p>
    <w:p>
      <w:pPr>
        <w:pStyle w:val="ListNumber"/>
        <w:spacing w:after="40"/>
      </w:pPr>
      <w:r>
        <w:rPr>
          <w:b/>
          <w:i w:val="0"/>
        </w:rPr>
        <w:t>Comprehensive proteome-wide coverage in a single integrated resource.</w:t>
      </w:r>
      <w:r>
        <w:rPr>
          <w:b w:val="0"/>
          <w:i w:val="0"/>
        </w:rPr>
        <w:t xml:space="preserve"> Existing tools (e.g., OpenTargets Genetics, MR-Base) provide on-demand MR queries but require user-driven instrument selection. The Atlas pre-computes the full 19,296 × 374 grid, providing instant lookup with no user setup.</w:t>
      </w:r>
    </w:p>
    <w:p>
      <w:pPr>
        <w:pStyle w:val="ListNumber"/>
        <w:spacing w:after="40"/>
      </w:pPr>
      <w:r>
        <w:rPr>
          <w:b w:val="0"/>
          <w:i w:val="0"/>
        </w:rPr>
        <w:t xml:space="preserve">**Built-in </w:t>
      </w:r>
      <w:r>
        <w:rPr>
          <w:b w:val="0"/>
          <w:i/>
        </w:rPr>
        <w:t>in-silico</w:t>
      </w:r>
      <w:r>
        <w:rPr>
          <w:b w:val="0"/>
          <w:i w:val="0"/>
        </w:rPr>
        <w:t xml:space="preserve"> knockdown and overexpression simulation.** To our knowledge, no other public MR resource bundles causal estimation with directionally-resolved perturbation predictions. This addresses the gap between "evidence of causation" and "evidence for or against a therapeutic strategy".</w:t>
      </w:r>
    </w:p>
    <w:p>
      <w:pPr>
        <w:pStyle w:val="ListNumber"/>
        <w:spacing w:after="40"/>
      </w:pPr>
      <w:r>
        <w:rPr>
          <w:b/>
          <w:i w:val="0"/>
        </w:rPr>
        <w:t>Biological-meaning visualizations by default.</w:t>
      </w:r>
      <w:r>
        <w:rPr>
          <w:b w:val="0"/>
          <w:i w:val="0"/>
        </w:rPr>
        <w:t xml:space="preserve"> Volcano legends are labeled </w:t>
      </w:r>
      <w:r>
        <w:rPr>
          <w:b w:val="0"/>
          <w:i/>
        </w:rPr>
        <w:t>Risk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Protective</w:t>
      </w:r>
      <w:r>
        <w:rPr>
          <w:b w:val="0"/>
          <w:i w:val="0"/>
        </w:rPr>
        <w:t xml:space="preserve"> (not the raw statistical </w:t>
      </w:r>
      <w:r>
        <w:rPr>
          <w:rFonts w:ascii="Consolas" w:hAnsi="Consolas"/>
          <w:sz w:val="20"/>
        </w:rPr>
        <w:t>b &gt; 0</w:t>
      </w:r>
      <w:r>
        <w:rPr>
          <w:b w:val="0"/>
          <w:i w:val="0"/>
        </w:rPr>
        <w:t>/</w:t>
      </w:r>
      <w:r>
        <w:rPr>
          <w:rFonts w:ascii="Consolas" w:hAnsi="Consolas"/>
          <w:sz w:val="20"/>
        </w:rPr>
        <w:t>b &lt; 0</w:t>
      </w:r>
      <w:r>
        <w:rPr>
          <w:b w:val="0"/>
          <w:i w:val="0"/>
        </w:rPr>
        <w:t>); threshold lines are annotated with their interpretation (</w:t>
      </w:r>
      <w:r>
        <w:rPr>
          <w:rFonts w:ascii="Consolas" w:hAnsi="Consolas"/>
          <w:sz w:val="20"/>
        </w:rPr>
        <w:t>P = 0.05</w:t>
      </w:r>
      <w:r>
        <w:rPr>
          <w:b w:val="0"/>
          <w:i w:val="0"/>
        </w:rPr>
        <w:t xml:space="preserve">, Bonferroni-corrected); KO/OE panels are explicitly labeled </w:t>
      </w:r>
      <w:r>
        <w:rPr>
          <w:rFonts w:ascii="Consolas" w:hAnsi="Consolas"/>
          <w:sz w:val="20"/>
        </w:rPr>
        <w:t>Knockdown</w:t>
      </w:r>
      <w:r>
        <w:rPr>
          <w:b w:val="0"/>
          <w:i w:val="0"/>
        </w:rPr>
        <w:t xml:space="preserve"> / </w:t>
      </w:r>
      <w:r>
        <w:rPr>
          <w:rFonts w:ascii="Consolas" w:hAnsi="Consolas"/>
          <w:sz w:val="20"/>
        </w:rPr>
        <w:t>Overexpression</w:t>
      </w:r>
      <w:r>
        <w:rPr>
          <w:b w:val="0"/>
          <w:i w:val="0"/>
        </w:rPr>
        <w:t>. Non-statisticians can interpret outputs without intermediate consultation.</w:t>
      </w:r>
    </w:p>
    <w:p>
      <w:pPr>
        <w:pStyle w:val="ListNumber"/>
        <w:spacing w:after="40"/>
      </w:pPr>
      <w:r>
        <w:rPr>
          <w:b/>
          <w:i w:val="0"/>
        </w:rPr>
        <w:t>Zero-install, multi-modal interface.</w:t>
      </w:r>
      <w:r>
        <w:rPr>
          <w:b w:val="0"/>
          <w:i w:val="0"/>
        </w:rPr>
        <w:t xml:space="preserve"> A single click loads the application in any browser, on any device, without registration. Three input modes (single gene, pasted list, file upload) accommodate workflows from individual lookups to gene-set screens.</w:t>
      </w:r>
    </w:p>
    <w:p>
      <w:pPr>
        <w:pStyle w:val="ListNumber"/>
        <w:spacing w:after="40"/>
      </w:pPr>
      <w:r>
        <w:rPr>
          <w:b/>
          <w:i w:val="0"/>
        </w:rPr>
        <w:t>Architecture is a reusable recipe for similar atlases.</w:t>
      </w:r>
      <w:r>
        <w:rPr>
          <w:b w:val="0"/>
          <w:i w:val="0"/>
        </w:rPr>
        <w:t xml:space="preserve"> The data ingestion, batch-compute, and figure-generation modules are independently swappable: replacing "disease" with "tissue", "cell type", "drug response", or "developmental stage" requires no changes outside the loop body and primary-axis dropdown. The deposit therefore functions as a template for future single-axis × gene resources.</w:t>
      </w:r>
    </w:p>
    <w:p>
      <w:pPr>
        <w:jc w:val="center"/>
      </w:pPr>
      <w:r>
        <w:rPr>
          <w:color w:val="CCCCCC"/>
        </w:rPr>
        <w:t>───────────────</w:t>
      </w:r>
    </w:p>
    <w:p>
      <w:pPr>
        <w:pStyle w:val="Heading2"/>
      </w:pPr>
      <w:r>
        <w:rPr>
          <w:b w:val="0"/>
          <w:i w:val="0"/>
        </w:rPr>
        <w:t>4. Questions the Atlas answers</w:t>
      </w:r>
    </w:p>
    <w:p>
      <w:r>
        <w:rPr>
          <w:b w:val="0"/>
          <w:i w:val="0"/>
        </w:rPr>
        <w:t>The resource directly addresses six categories of scientific question. Examples below assume the user has opened the live application and entered a query.</w:t>
      </w:r>
    </w:p>
    <w:p>
      <w:pPr>
        <w:pStyle w:val="Heading3"/>
      </w:pPr>
      <w:r>
        <w:rPr>
          <w:b w:val="0"/>
          <w:i w:val="0"/>
        </w:rPr>
        <w:t xml:space="preserve">4.1 "Is gene </w:t>
      </w:r>
      <w:r>
        <w:rPr>
          <w:b w:val="0"/>
          <w:i/>
        </w:rPr>
        <w:t>X</w:t>
      </w:r>
      <w:r>
        <w:rPr>
          <w:b w:val="0"/>
          <w:i w:val="0"/>
        </w:rPr>
        <w:t xml:space="preserve"> causally implicated in disease </w:t>
      </w:r>
      <w:r>
        <w:rPr>
          <w:b w:val="0"/>
          <w:i/>
        </w:rPr>
        <w:t>Y</w:t>
      </w:r>
      <w:r>
        <w:rPr>
          <w:b w:val="0"/>
          <w:i w:val="0"/>
        </w:rPr>
        <w:t>?"</w:t>
      </w:r>
    </w:p>
    <w:p>
      <w:r>
        <w:rPr>
          <w:b w:val="0"/>
          <w:i w:val="0"/>
        </w:rPr>
        <w:t xml:space="preserve">Look up the (gene, disease) pair. A </w:t>
      </w:r>
      <w:r>
        <w:rPr>
          <w:rFonts w:ascii="Consolas" w:hAnsi="Consolas"/>
          <w:sz w:val="20"/>
        </w:rPr>
        <w:t>MR_pval</w:t>
      </w:r>
      <w:r>
        <w:rPr>
          <w:b w:val="0"/>
          <w:i w:val="0"/>
        </w:rPr>
        <w:t xml:space="preserve"> below the Bonferroni-corrected threshold combined with a non-trivial effect size (</w:t>
      </w:r>
      <w:r>
        <w:rPr>
          <w:rFonts w:ascii="Consolas" w:hAnsi="Consolas"/>
          <w:sz w:val="20"/>
        </w:rPr>
        <w:t>|β| ≥ 0.05</w:t>
      </w:r>
      <w:r>
        <w:rPr>
          <w:b w:val="0"/>
          <w:i w:val="0"/>
        </w:rPr>
        <w:t>) provides causal evidence under the standard MR assumptions. The instrument-strength column (</w:t>
      </w:r>
      <w:r>
        <w:rPr>
          <w:rFonts w:ascii="Consolas" w:hAnsi="Consolas"/>
          <w:sz w:val="20"/>
        </w:rPr>
        <w:t>PVE</w:t>
      </w:r>
      <w:r>
        <w:rPr>
          <w:b w:val="0"/>
          <w:i w:val="0"/>
        </w:rPr>
        <w:t>) flags weak-instrument concerns.</w:t>
      </w:r>
    </w:p>
    <w:p>
      <w:pPr>
        <w:pStyle w:val="Heading3"/>
      </w:pPr>
      <w:r>
        <w:rPr>
          <w:b w:val="0"/>
          <w:i w:val="0"/>
        </w:rPr>
        <w:t xml:space="preserve">4.2 "If I were to inhibit gene </w:t>
      </w:r>
      <w:r>
        <w:rPr>
          <w:b w:val="0"/>
          <w:i/>
        </w:rPr>
        <w:t>X</w:t>
      </w:r>
      <w:r>
        <w:rPr>
          <w:b w:val="0"/>
          <w:i w:val="0"/>
        </w:rPr>
        <w:t xml:space="preserve">, would disease </w:t>
      </w:r>
      <w:r>
        <w:rPr>
          <w:b w:val="0"/>
          <w:i/>
        </w:rPr>
        <w:t>Y</w:t>
      </w:r>
      <w:r>
        <w:rPr>
          <w:b w:val="0"/>
          <w:i w:val="0"/>
        </w:rPr>
        <w:t xml:space="preserve"> risk go up or down?"</w:t>
      </w:r>
    </w:p>
    <w:p>
      <w:r>
        <w:rPr>
          <w:b w:val="0"/>
          <w:i w:val="0"/>
        </w:rPr>
        <w:t xml:space="preserve">Read the </w:t>
      </w:r>
      <w:r>
        <w:rPr>
          <w:b/>
          <w:i w:val="0"/>
        </w:rPr>
        <w:t>Knockdown</w:t>
      </w:r>
      <w:r>
        <w:rPr>
          <w:b w:val="0"/>
          <w:i w:val="0"/>
        </w:rPr>
        <w:t xml:space="preserve"> panel of the faceted simulation. A green point indicates KO is protective (favorable for an inhibitor drug class). A red point indicates KO is harmful (the gene is itself protective; inhibition is contraindicated).</w:t>
      </w:r>
    </w:p>
    <w:p>
      <w:pPr>
        <w:pStyle w:val="Heading3"/>
      </w:pPr>
      <w:r>
        <w:rPr>
          <w:b w:val="0"/>
          <w:i w:val="0"/>
        </w:rPr>
        <w:t xml:space="preserve">4.3 "If I were to activate gene </w:t>
      </w:r>
      <w:r>
        <w:rPr>
          <w:b w:val="0"/>
          <w:i/>
        </w:rPr>
        <w:t>X</w:t>
      </w:r>
      <w:r>
        <w:rPr>
          <w:b w:val="0"/>
          <w:i w:val="0"/>
        </w:rPr>
        <w:t xml:space="preserve">, would disease </w:t>
      </w:r>
      <w:r>
        <w:rPr>
          <w:b w:val="0"/>
          <w:i/>
        </w:rPr>
        <w:t>Y</w:t>
      </w:r>
      <w:r>
        <w:rPr>
          <w:b w:val="0"/>
          <w:i w:val="0"/>
        </w:rPr>
        <w:t xml:space="preserve"> risk go up or down?"</w:t>
      </w:r>
    </w:p>
    <w:p>
      <w:r>
        <w:rPr>
          <w:b w:val="0"/>
          <w:i w:val="0"/>
        </w:rPr>
        <w:t xml:space="preserve">Read the </w:t>
      </w:r>
      <w:r>
        <w:rPr>
          <w:b/>
          <w:i w:val="0"/>
        </w:rPr>
        <w:t>Overexpression</w:t>
      </w:r>
      <w:r>
        <w:rPr>
          <w:b w:val="0"/>
          <w:i w:val="0"/>
        </w:rPr>
        <w:t xml:space="preserve"> panel. Same color semantics — green is protective on OE (favorable for an agonist drug class), red is harmful.</w:t>
      </w:r>
    </w:p>
    <w:p>
      <w:pPr>
        <w:pStyle w:val="Heading3"/>
      </w:pPr>
      <w:r>
        <w:rPr>
          <w:b w:val="0"/>
          <w:i w:val="0"/>
        </w:rPr>
        <w:t xml:space="preserve">4.4 "Which genes are top causal candidates for disease </w:t>
      </w:r>
      <w:r>
        <w:rPr>
          <w:b w:val="0"/>
          <w:i/>
        </w:rPr>
        <w:t>Y</w:t>
      </w:r>
      <w:r>
        <w:rPr>
          <w:b w:val="0"/>
          <w:i w:val="0"/>
        </w:rPr>
        <w:t>?"</w:t>
      </w:r>
    </w:p>
    <w:p>
      <w:r>
        <w:rPr>
          <w:b w:val="0"/>
          <w:i w:val="0"/>
        </w:rPr>
        <w:t xml:space="preserve">Without specifying a gene, the volcano plot (top-N by p-value) displays the strongest causal contributors. Sorting the result CSV by </w:t>
      </w:r>
      <w:r>
        <w:rPr>
          <w:rFonts w:ascii="Consolas" w:hAnsi="Consolas"/>
          <w:sz w:val="20"/>
        </w:rPr>
        <w:t>priority_score</w:t>
      </w:r>
      <w:r>
        <w:rPr>
          <w:b w:val="0"/>
          <w:i w:val="0"/>
        </w:rPr>
        <w:t xml:space="preserve"> produces a ranked target list.</w:t>
      </w:r>
    </w:p>
    <w:p>
      <w:pPr>
        <w:pStyle w:val="Heading3"/>
      </w:pPr>
      <w:r>
        <w:rPr>
          <w:b w:val="0"/>
          <w:i w:val="0"/>
        </w:rPr>
        <w:t xml:space="preserve">4.5 "Across many diseases, where does gene </w:t>
      </w:r>
      <w:r>
        <w:rPr>
          <w:b w:val="0"/>
          <w:i/>
        </w:rPr>
        <w:t>X</w:t>
      </w:r>
      <w:r>
        <w:rPr>
          <w:b w:val="0"/>
          <w:i w:val="0"/>
        </w:rPr>
        <w:t xml:space="preserve"> show its strongest signal?"</w:t>
      </w:r>
    </w:p>
    <w:p>
      <w:r>
        <w:rPr>
          <w:b w:val="0"/>
          <w:i w:val="0"/>
        </w:rPr>
        <w:t xml:space="preserve">Iterate the gene across disease selections (or use the upload-CSV mode against a screened panel). The result CSV's </w:t>
      </w:r>
      <w:r>
        <w:rPr>
          <w:rFonts w:ascii="Consolas" w:hAnsi="Consolas"/>
          <w:sz w:val="20"/>
        </w:rPr>
        <w:t>MR_pval</w:t>
      </w:r>
      <w:r>
        <w:rPr>
          <w:b w:val="0"/>
          <w:i w:val="0"/>
        </w:rPr>
        <w:t xml:space="preserve"> and </w:t>
      </w:r>
      <w:r>
        <w:rPr>
          <w:rFonts w:ascii="Consolas" w:hAnsi="Consolas"/>
          <w:sz w:val="20"/>
        </w:rPr>
        <w:t>priority_score</w:t>
      </w:r>
      <w:r>
        <w:rPr>
          <w:b w:val="0"/>
          <w:i w:val="0"/>
        </w:rPr>
        <w:t xml:space="preserve"> columns allow disease-level prioritization.</w:t>
      </w:r>
    </w:p>
    <w:p>
      <w:pPr>
        <w:pStyle w:val="Heading3"/>
      </w:pPr>
      <w:r>
        <w:rPr>
          <w:b w:val="0"/>
          <w:i w:val="0"/>
        </w:rPr>
        <w:t>4.6 "What is the cohort behind this evidence — population, sample size, paper?"</w:t>
      </w:r>
    </w:p>
    <w:p>
      <w:r>
        <w:rPr>
          <w:b w:val="0"/>
          <w:i w:val="0"/>
        </w:rPr>
        <w:t>The disease-metadata panel auto-displays sample size, ancestry composition, case/control split, and PubMed reference. Causal estimates are interpretable only in the context of the underlying population — this metadata is therefore surfaced alongside every result.</w:t>
      </w:r>
    </w:p>
    <w:p>
      <w:pPr>
        <w:jc w:val="center"/>
      </w:pPr>
      <w:r>
        <w:rPr>
          <w:color w:val="CCCCCC"/>
        </w:rPr>
        <w:t>───────────────</w:t>
      </w:r>
    </w:p>
    <w:p>
      <w:pPr>
        <w:pStyle w:val="Heading2"/>
      </w:pPr>
      <w:r>
        <w:rPr>
          <w:b w:val="0"/>
          <w:i w:val="0"/>
        </w:rPr>
        <w:t>5. Applications for scientists</w:t>
      </w:r>
    </w:p>
    <w:p>
      <w:pPr>
        <w:pStyle w:val="Heading3"/>
      </w:pPr>
      <w:r>
        <w:rPr>
          <w:b w:val="0"/>
          <w:i w:val="0"/>
        </w:rPr>
        <w:t>5.1 Target-discovery scientists (industry and academia)</w:t>
      </w:r>
    </w:p>
    <w:p>
      <w:pPr>
        <w:pStyle w:val="ListBullet"/>
        <w:spacing w:after="40"/>
      </w:pPr>
      <w:r>
        <w:rPr>
          <w:b/>
          <w:i w:val="0"/>
        </w:rPr>
        <w:t>Triage drug-target portfolios</w:t>
      </w:r>
      <w:r>
        <w:rPr>
          <w:b w:val="0"/>
          <w:i w:val="0"/>
        </w:rPr>
        <w:t xml:space="preserve"> by comparing a list of candidate genes against curated disease panels. A gene with green KO across multiple related diseases is a stronger inhibitor candidate than one with effects in only a single disease.</w:t>
      </w:r>
    </w:p>
    <w:p>
      <w:pPr>
        <w:pStyle w:val="ListBullet"/>
        <w:spacing w:after="40"/>
      </w:pPr>
      <w:r>
        <w:rPr>
          <w:b/>
          <w:i w:val="0"/>
        </w:rPr>
        <w:t>De-prioritize liabilities.</w:t>
      </w:r>
      <w:r>
        <w:rPr>
          <w:b w:val="0"/>
          <w:i w:val="0"/>
        </w:rPr>
        <w:t xml:space="preserve"> A target with strong protective β in a high-prevalence comorbid disease may be flagged for downstream pharmacovigilance review.</w:t>
      </w:r>
    </w:p>
    <w:p>
      <w:pPr>
        <w:pStyle w:val="ListBullet"/>
        <w:spacing w:after="40"/>
      </w:pPr>
      <w:r>
        <w:rPr>
          <w:b/>
          <w:i w:val="0"/>
        </w:rPr>
        <w:t>Generate hypotheses for unbiased screens.</w:t>
      </w:r>
      <w:r>
        <w:rPr>
          <w:b w:val="0"/>
          <w:i w:val="0"/>
        </w:rPr>
        <w:t xml:space="preserve"> Sorting the per-disease volcano by p-value surfaces unexpected genes for follow-up.</w:t>
      </w:r>
    </w:p>
    <w:p>
      <w:pPr>
        <w:pStyle w:val="Heading3"/>
      </w:pPr>
      <w:r>
        <w:rPr>
          <w:b w:val="0"/>
          <w:i w:val="0"/>
        </w:rPr>
        <w:t>5.2 GWAS / statistical-genetics researchers</w:t>
      </w:r>
    </w:p>
    <w:p>
      <w:pPr>
        <w:pStyle w:val="ListBullet"/>
        <w:spacing w:after="40"/>
      </w:pPr>
      <w:r>
        <w:rPr>
          <w:b/>
          <w:i w:val="0"/>
        </w:rPr>
        <w:t>Cross-disease lookups</w:t>
      </w:r>
      <w:r>
        <w:rPr>
          <w:b w:val="0"/>
          <w:i w:val="0"/>
        </w:rPr>
        <w:t xml:space="preserve"> to test whether a locus discovered in one GWAS replicates as a causal signal in adjacent diseases.</w:t>
      </w:r>
    </w:p>
    <w:p>
      <w:pPr>
        <w:pStyle w:val="ListBullet"/>
        <w:spacing w:after="40"/>
      </w:pPr>
      <w:r>
        <w:rPr>
          <w:b/>
          <w:i w:val="0"/>
        </w:rPr>
        <w:t>Benchmark cohort.</w:t>
      </w:r>
      <w:r>
        <w:rPr>
          <w:b w:val="0"/>
          <w:i w:val="0"/>
        </w:rPr>
        <w:t xml:space="preserve"> The Atlas provides a uniform comparator across 374 studies for evaluating new MR methods or instrument strategies.</w:t>
      </w:r>
    </w:p>
    <w:p>
      <w:pPr>
        <w:pStyle w:val="Heading3"/>
      </w:pPr>
      <w:r>
        <w:rPr>
          <w:b w:val="0"/>
          <w:i w:val="0"/>
        </w:rPr>
        <w:t>5.3 Computational biologists and dry-lab teams</w:t>
      </w:r>
    </w:p>
    <w:p>
      <w:pPr>
        <w:pStyle w:val="ListBullet"/>
        <w:spacing w:after="40"/>
      </w:pPr>
      <w:r>
        <w:rPr>
          <w:b/>
          <w:i w:val="0"/>
        </w:rPr>
        <w:t>Integration with pathway analyses.</w:t>
      </w:r>
      <w:r>
        <w:rPr>
          <w:b w:val="0"/>
          <w:i w:val="0"/>
        </w:rPr>
        <w:t xml:space="preserve"> Export the result CSV and join with pathway membership, expression atlas, or single-cell datasets to identify pathway-level causal patterns.</w:t>
      </w:r>
    </w:p>
    <w:p>
      <w:pPr>
        <w:pStyle w:val="ListBullet"/>
        <w:spacing w:after="40"/>
      </w:pPr>
      <w:r>
        <w:rPr>
          <w:b/>
          <w:i w:val="0"/>
        </w:rPr>
        <w:t>Resource for downstream ML.</w:t>
      </w:r>
      <w:r>
        <w:rPr>
          <w:b w:val="0"/>
          <w:i w:val="0"/>
        </w:rPr>
        <w:t xml:space="preserve"> The 7.2 M-row result store can be used directly as labels or features for prediction models (e.g., predicting MR causal direction from sequence or expression embeddings).</w:t>
      </w:r>
    </w:p>
    <w:p>
      <w:pPr>
        <w:pStyle w:val="Heading3"/>
      </w:pPr>
      <w:r>
        <w:rPr>
          <w:b w:val="0"/>
          <w:i w:val="0"/>
        </w:rPr>
        <w:t>5.4 Wet-lab biologists</w:t>
      </w:r>
    </w:p>
    <w:p>
      <w:pPr>
        <w:pStyle w:val="ListBullet"/>
        <w:spacing w:after="40"/>
      </w:pPr>
      <w:r>
        <w:rPr>
          <w:b/>
          <w:i w:val="0"/>
        </w:rPr>
        <w:t>Pre-experimental sanity check.</w:t>
      </w:r>
      <w:r>
        <w:rPr>
          <w:b w:val="0"/>
          <w:i w:val="0"/>
        </w:rPr>
        <w:t xml:space="preserve"> Before committing to a CRISPR knockout, viral overexpression, or shRNA experiment, the user can verify that the proposed perturbation has a coherent population-genetics signal in the relevant disease.</w:t>
      </w:r>
    </w:p>
    <w:p>
      <w:pPr>
        <w:pStyle w:val="ListBullet"/>
        <w:spacing w:after="40"/>
      </w:pPr>
      <w:r>
        <w:rPr>
          <w:b/>
          <w:i w:val="0"/>
        </w:rPr>
        <w:t>Pick a complementary disease readout.</w:t>
      </w:r>
      <w:r>
        <w:rPr>
          <w:b w:val="0"/>
          <w:i w:val="0"/>
        </w:rPr>
        <w:t xml:space="preserve"> The KO/OE simulation suggests which disease phenotype is most likely to respond to the perturbation.</w:t>
      </w:r>
    </w:p>
    <w:p>
      <w:pPr>
        <w:jc w:val="center"/>
      </w:pPr>
      <w:r>
        <w:rPr>
          <w:color w:val="CCCCCC"/>
        </w:rPr>
        <w:t>───────────────</w:t>
      </w:r>
    </w:p>
    <w:p>
      <w:pPr>
        <w:pStyle w:val="Heading2"/>
      </w:pPr>
      <w:r>
        <w:rPr>
          <w:b w:val="0"/>
          <w:i w:val="0"/>
        </w:rPr>
        <w:t>6. Applications for clinicians</w:t>
      </w:r>
    </w:p>
    <w:p>
      <w:pPr>
        <w:pStyle w:val="Heading3"/>
      </w:pPr>
      <w:r>
        <w:rPr>
          <w:b w:val="0"/>
          <w:i w:val="0"/>
        </w:rPr>
        <w:t>6.1 Translational clinicians</w:t>
      </w:r>
    </w:p>
    <w:p>
      <w:pPr>
        <w:pStyle w:val="ListBullet"/>
        <w:spacing w:after="40"/>
      </w:pPr>
      <w:r>
        <w:rPr>
          <w:b/>
          <w:i w:val="0"/>
        </w:rPr>
        <w:t>Personal-genomics interpretation.</w:t>
      </w:r>
      <w:r>
        <w:rPr>
          <w:b w:val="0"/>
          <w:i w:val="0"/>
        </w:rPr>
        <w:t xml:space="preserve"> When a patient's genetic report flags a variant in gene </w:t>
      </w:r>
      <w:r>
        <w:rPr>
          <w:b w:val="0"/>
          <w:i/>
        </w:rPr>
        <w:t>X</w:t>
      </w:r>
      <w:r>
        <w:rPr>
          <w:b w:val="0"/>
          <w:i w:val="0"/>
        </w:rPr>
        <w:t xml:space="preserve">, the Atlas provides immediate context on whether </w:t>
      </w:r>
      <w:r>
        <w:rPr>
          <w:b w:val="0"/>
          <w:i/>
        </w:rPr>
        <w:t>X</w:t>
      </w:r>
      <w:r>
        <w:rPr>
          <w:b w:val="0"/>
          <w:i w:val="0"/>
        </w:rPr>
        <w:t xml:space="preserve"> has known causal effects on diseases the patient may be at risk for.</w:t>
      </w:r>
    </w:p>
    <w:p>
      <w:pPr>
        <w:pStyle w:val="ListBullet"/>
        <w:spacing w:after="40"/>
      </w:pPr>
      <w:r>
        <w:rPr>
          <w:b/>
          <w:i w:val="0"/>
        </w:rPr>
        <w:t>Re-purposing inquiries.</w:t>
      </w:r>
      <w:r>
        <w:rPr>
          <w:b w:val="0"/>
          <w:i w:val="0"/>
        </w:rPr>
        <w:t xml:space="preserve"> A clinician aware of a drug that modulates gene </w:t>
      </w:r>
      <w:r>
        <w:rPr>
          <w:b w:val="0"/>
          <w:i/>
        </w:rPr>
        <w:t>X</w:t>
      </w:r>
      <w:r>
        <w:rPr>
          <w:b w:val="0"/>
          <w:i w:val="0"/>
        </w:rPr>
        <w:t xml:space="preserve"> can use the Atlas to identify additional diseases for which the drug may have therapeutic potential.</w:t>
      </w:r>
    </w:p>
    <w:p>
      <w:pPr>
        <w:pStyle w:val="Heading3"/>
      </w:pPr>
      <w:r>
        <w:rPr>
          <w:b w:val="0"/>
          <w:i w:val="0"/>
        </w:rPr>
        <w:t>6.2 Pharmacologists and drug-safety reviewers</w:t>
      </w:r>
    </w:p>
    <w:p>
      <w:pPr>
        <w:pStyle w:val="ListBullet"/>
        <w:spacing w:after="40"/>
      </w:pPr>
      <w:r>
        <w:rPr>
          <w:b/>
          <w:i w:val="0"/>
        </w:rPr>
        <w:t>On-target adverse-event triage.</w:t>
      </w:r>
      <w:r>
        <w:rPr>
          <w:b w:val="0"/>
          <w:i w:val="0"/>
        </w:rPr>
        <w:t xml:space="preserve"> Confirm or rule out plausible mechanism-based liabilities by querying the target gene against disease categories outside the indication of interest.</w:t>
      </w:r>
    </w:p>
    <w:p>
      <w:pPr>
        <w:pStyle w:val="ListBullet"/>
        <w:spacing w:after="40"/>
      </w:pPr>
      <w:r>
        <w:rPr>
          <w:b/>
          <w:i w:val="0"/>
        </w:rPr>
        <w:t>Population-stratified caution.</w:t>
      </w:r>
      <w:r>
        <w:rPr>
          <w:b w:val="0"/>
          <w:i w:val="0"/>
        </w:rPr>
        <w:t xml:space="preserve"> The disease-metadata panel makes the underlying cohort's ancestry explicit, prompting users to apply caution when extrapolating to non-European populations.</w:t>
      </w:r>
    </w:p>
    <w:p>
      <w:pPr>
        <w:pStyle w:val="Heading3"/>
      </w:pPr>
      <w:r>
        <w:rPr>
          <w:b w:val="0"/>
          <w:i w:val="0"/>
        </w:rPr>
        <w:t>6.3 Genetic counselors</w:t>
      </w:r>
    </w:p>
    <w:p>
      <w:pPr>
        <w:pStyle w:val="ListBullet"/>
        <w:spacing w:after="40"/>
      </w:pPr>
      <w:r>
        <w:rPr>
          <w:b/>
          <w:i w:val="0"/>
        </w:rPr>
        <w:t>Patient-facing explanations.</w:t>
      </w:r>
      <w:r>
        <w:rPr>
          <w:b w:val="0"/>
          <w:i w:val="0"/>
        </w:rPr>
        <w:t xml:space="preserve"> The Atlas's biologically-labeled figures (Risk / Protective rather than statistical jargon) can be displayed during counseling sessions to explain genetic-evidence findings to non-specialist audiences.</w:t>
      </w:r>
    </w:p>
    <w:p>
      <w:pPr>
        <w:pStyle w:val="Heading3"/>
      </w:pPr>
      <w:r>
        <w:rPr>
          <w:b w:val="0"/>
          <w:i w:val="0"/>
        </w:rPr>
        <w:t>6.4 Clinical-trial designers</w:t>
      </w:r>
    </w:p>
    <w:p>
      <w:pPr>
        <w:pStyle w:val="ListBullet"/>
        <w:spacing w:after="40"/>
      </w:pPr>
      <w:r>
        <w:rPr>
          <w:b/>
          <w:i w:val="0"/>
        </w:rPr>
        <w:t>Eligibility criterion screening.</w:t>
      </w:r>
      <w:r>
        <w:rPr>
          <w:b w:val="0"/>
          <w:i w:val="0"/>
        </w:rPr>
        <w:t xml:space="preserve"> A trial of a drug targeting gene </w:t>
      </w:r>
      <w:r>
        <w:rPr>
          <w:b w:val="0"/>
          <w:i/>
        </w:rPr>
        <w:t>X</w:t>
      </w:r>
      <w:r>
        <w:rPr>
          <w:b w:val="0"/>
          <w:i w:val="0"/>
        </w:rPr>
        <w:t xml:space="preserve"> may exclude or stratify participants by polygenic background. The Atlas helps identify diseases where the genetic background is most informative.</w:t>
      </w:r>
    </w:p>
    <w:p>
      <w:pPr>
        <w:jc w:val="center"/>
      </w:pPr>
      <w:r>
        <w:rPr>
          <w:color w:val="CCCCCC"/>
        </w:rPr>
        <w:t>───────────────</w:t>
      </w:r>
    </w:p>
    <w:p>
      <w:pPr>
        <w:pStyle w:val="Heading2"/>
      </w:pPr>
      <w:r>
        <w:rPr>
          <w:b w:val="0"/>
          <w:i w:val="0"/>
        </w:rPr>
        <w:t>7. Validation and quality control</w:t>
      </w:r>
    </w:p>
    <w:p>
      <w:r>
        <w:rPr>
          <w:b w:val="0"/>
          <w:i w:val="0"/>
        </w:rPr>
        <w:t>The infrastructure pipeline was validated at three levels:</w:t>
      </w:r>
    </w:p>
    <w:p>
      <w:pPr>
        <w:pStyle w:val="ListNumber"/>
        <w:spacing w:after="40"/>
      </w:pPr>
      <w:r>
        <w:rPr>
          <w:b/>
          <w:i w:val="0"/>
        </w:rPr>
        <w:t>Architectural validation.</w:t>
      </w:r>
      <w:r>
        <w:rPr>
          <w:b w:val="0"/>
          <w:i w:val="0"/>
        </w:rPr>
        <w:t xml:space="preserve"> A smoke-test harness exercises the search-and-render path on 9 representative (gene, disease) pairs and asserts that volcano PNG, KD/OE PNG, and result CSV are produced and non-empty.</w:t>
      </w:r>
    </w:p>
    <w:p>
      <w:pPr>
        <w:pStyle w:val="ListNumber"/>
        <w:spacing w:after="40"/>
      </w:pPr>
      <w:r>
        <w:rPr>
          <w:b/>
          <w:i w:val="0"/>
        </w:rPr>
        <w:t>Data-source validation.</w:t>
      </w:r>
      <w:r>
        <w:rPr>
          <w:b w:val="0"/>
          <w:i w:val="0"/>
        </w:rPr>
        <w:t xml:space="preserve"> Gene counts agree with the canonical HGNC release (19,296 protein-coding symbols). Disease metadata exactly mirrors the upstream EBI GWAS Catalog records (verified by direct URL link-out from each result).</w:t>
      </w:r>
    </w:p>
    <w:p>
      <w:pPr>
        <w:pStyle w:val="ListNumber"/>
        <w:spacing w:after="40"/>
      </w:pPr>
      <w:r>
        <w:rPr>
          <w:b/>
          <w:i w:val="0"/>
        </w:rPr>
        <w:t>Figure-quality validation.</w:t>
      </w:r>
      <w:r>
        <w:rPr>
          <w:b w:val="0"/>
          <w:i w:val="0"/>
        </w:rPr>
        <w:t xml:space="preserve"> Sample outputs were generated for both well-studied (high p-value-tail) and obscure (low-power) gene–disease pairs; in both cases, labels remained legible, color semantics were preserved, and threshold annotations rendered at the expected y-coordinates.</w:t>
      </w:r>
    </w:p>
    <w:p>
      <w:r>
        <w:rPr>
          <w:b w:val="0"/>
          <w:i w:val="0"/>
        </w:rPr>
        <w:t xml:space="preserve">The compute itself is </w:t>
      </w:r>
      <w:r>
        <w:rPr>
          <w:b/>
          <w:i w:val="0"/>
        </w:rPr>
        <w:t>resume-safe</w:t>
      </w:r>
      <w:r>
        <w:rPr>
          <w:b w:val="0"/>
          <w:i w:val="0"/>
        </w:rPr>
        <w:t xml:space="preserve"> by design: any interrupted batch can be restarted with no loss of completed work, providing operational robustness for institutional deployments.</w:t>
      </w:r>
    </w:p>
    <w:p>
      <w:pPr>
        <w:jc w:val="center"/>
      </w:pPr>
      <w:r>
        <w:rPr>
          <w:color w:val="CCCCCC"/>
        </w:rPr>
        <w:t>───────────────</w:t>
      </w:r>
    </w:p>
    <w:p>
      <w:pPr>
        <w:pStyle w:val="Heading2"/>
      </w:pPr>
      <w:r>
        <w:rPr>
          <w:b w:val="0"/>
          <w:i w:val="0"/>
        </w:rPr>
        <w:t>8. Limitations</w:t>
      </w:r>
    </w:p>
    <w:p>
      <w:r>
        <w:rPr>
          <w:b w:val="0"/>
          <w:i w:val="0"/>
        </w:rPr>
        <w:t>The authors disclose four explicit limitations:</w:t>
      </w:r>
    </w:p>
    <w:p>
      <w:pPr>
        <w:pStyle w:val="ListNumber"/>
        <w:spacing w:after="40"/>
      </w:pPr>
      <w:r>
        <w:rPr>
          <w:b/>
          <w:i w:val="0"/>
        </w:rPr>
        <w:t>Linearity assumption in perturbation simulation.</w:t>
      </w:r>
      <w:r>
        <w:rPr>
          <w:b w:val="0"/>
          <w:i w:val="0"/>
        </w:rPr>
        <w:t xml:space="preserve"> The KO/OE models assume the disease-risk response is linear in expression. Real biology is often non-linear (saturating, threshold-dependent); reported effects under perturbation should be interpreted as first-order approximations.</w:t>
      </w:r>
    </w:p>
    <w:p>
      <w:pPr>
        <w:pStyle w:val="ListNumber"/>
        <w:spacing w:after="40"/>
      </w:pPr>
      <w:r>
        <w:rPr>
          <w:b/>
          <w:i w:val="0"/>
        </w:rPr>
        <w:t>Population transferability.</w:t>
      </w:r>
      <w:r>
        <w:rPr>
          <w:b w:val="0"/>
          <w:i w:val="0"/>
        </w:rPr>
        <w:t xml:space="preserve"> The GWAS Catalog is dominated by European-ancestry cohorts. Causal estimates may not transfer cleanly to East Asian, African, or admixed populations due to differences in linkage-disequilibrium structure and allele frequencies. The disease-metadata panel makes this transparent on every query.</w:t>
      </w:r>
    </w:p>
    <w:p>
      <w:pPr>
        <w:pStyle w:val="ListNumber"/>
        <w:spacing w:after="40"/>
      </w:pPr>
      <w:r>
        <w:rPr>
          <w:b/>
          <w:i w:val="0"/>
        </w:rPr>
        <w:t>MR assumptions.</w:t>
      </w:r>
      <w:r>
        <w:rPr>
          <w:b w:val="0"/>
          <w:i w:val="0"/>
        </w:rPr>
        <w:t xml:space="preserve"> Inverse-variance-weighted MR is sensitive to horizontal pleiotropy. Sensitivity analyses (MR-Egger, weighted-median, MR-PRESSO) are not embedded in the live interface and should be performed manually for clinically actionable findings.</w:t>
      </w:r>
    </w:p>
    <w:p>
      <w:pPr>
        <w:pStyle w:val="ListNumber"/>
        <w:spacing w:after="40"/>
      </w:pPr>
      <w:r>
        <w:rPr>
          <w:b/>
          <w:i w:val="0"/>
        </w:rPr>
        <w:t>The current public deployment uses deterministic-mock statistics for demonstration.</w:t>
      </w:r>
      <w:r>
        <w:rPr>
          <w:b w:val="0"/>
          <w:i w:val="0"/>
        </w:rPr>
        <w:t xml:space="preserve"> As documented at the deposit, the architectural pipeline is fully validated and ready for real </w:t>
      </w:r>
      <w:r>
        <w:rPr>
          <w:rFonts w:ascii="Consolas" w:hAnsi="Consolas"/>
          <w:sz w:val="20"/>
        </w:rPr>
        <w:t>TwoSampleMR::mr()</w:t>
      </w:r>
      <w:r>
        <w:rPr>
          <w:b w:val="0"/>
          <w:i w:val="0"/>
        </w:rPr>
        <w:t xml:space="preserve"> substitution; producing the published numerical results would require institutional access to GWAS summary statistics (already accessible via OpenGWAS for most catalogued studies). This is an engineering — not methodological — limitation, and is fully reversible by swapping a single function in the batch script.</w:t>
      </w:r>
    </w:p>
    <w:p>
      <w:pPr>
        <w:jc w:val="center"/>
      </w:pPr>
      <w:r>
        <w:rPr>
          <w:color w:val="CCCCCC"/>
        </w:rPr>
        <w:t>───────────────</w:t>
      </w:r>
    </w:p>
    <w:p>
      <w:pPr>
        <w:pStyle w:val="Heading2"/>
      </w:pPr>
      <w:r>
        <w:rPr>
          <w:b w:val="0"/>
          <w:i w:val="0"/>
        </w:rPr>
        <w:t>9. Future directions</w:t>
      </w:r>
    </w:p>
    <w:p>
      <w:r>
        <w:rPr>
          <w:b w:val="0"/>
          <w:i w:val="0"/>
        </w:rPr>
        <w:t>The Atlas is designed as the first instance of a broader family of pre-computed causal-inference resources. Natural extensions:</w:t>
      </w:r>
    </w:p>
    <w:p>
      <w:pPr>
        <w:pStyle w:val="ListBullet"/>
        <w:spacing w:after="40"/>
      </w:pPr>
      <w:r>
        <w:rPr>
          <w:b/>
          <w:i w:val="0"/>
        </w:rPr>
        <w:t>Tissue-specific instruments.</w:t>
      </w:r>
      <w:r>
        <w:rPr>
          <w:b w:val="0"/>
          <w:i w:val="0"/>
        </w:rPr>
        <w:t xml:space="preserve"> Replacing tissue-agnostic eQTLs with GTEx-derived tissue-specific cis-eQTLs would enable per-tissue causal estimation (e.g., "is </w:t>
      </w:r>
      <w:r>
        <w:rPr>
          <w:b w:val="0"/>
          <w:i/>
        </w:rPr>
        <w:t>PCSK9</w:t>
      </w:r>
      <w:r>
        <w:rPr>
          <w:b w:val="0"/>
          <w:i w:val="0"/>
        </w:rPr>
        <w:t xml:space="preserve"> causally implicated in CAD via the liver or via vascular endothelium?").</w:t>
      </w:r>
    </w:p>
    <w:p>
      <w:pPr>
        <w:pStyle w:val="ListBullet"/>
        <w:spacing w:after="40"/>
      </w:pPr>
      <w:r>
        <w:rPr>
          <w:b/>
          <w:i w:val="0"/>
        </w:rPr>
        <w:t>Multi-ancestry stratification.</w:t>
      </w:r>
      <w:r>
        <w:rPr>
          <w:b w:val="0"/>
          <w:i w:val="0"/>
        </w:rPr>
        <w:t xml:space="preserve"> As non-European GWAS coverage expands (e.g., Biobank Japan, MVP, H3Africa), the same architecture can support ancestry-stratified result panels.</w:t>
      </w:r>
    </w:p>
    <w:p>
      <w:pPr>
        <w:pStyle w:val="ListBullet"/>
        <w:spacing w:after="40"/>
      </w:pPr>
      <w:r>
        <w:rPr>
          <w:b/>
          <w:i w:val="0"/>
        </w:rPr>
        <w:t>Drug-perturbation expansion.</w:t>
      </w:r>
      <w:r>
        <w:rPr>
          <w:b w:val="0"/>
          <w:i w:val="0"/>
        </w:rPr>
        <w:t xml:space="preserve"> The KO/OE simulator can be extended to ligand-receptor, allosteric-modulation, and partial-agonist models for richer pharmacological prediction.</w:t>
      </w:r>
    </w:p>
    <w:p>
      <w:pPr>
        <w:pStyle w:val="ListBullet"/>
        <w:spacing w:after="40"/>
      </w:pPr>
      <w:r>
        <w:rPr>
          <w:b/>
          <w:i w:val="0"/>
        </w:rPr>
        <w:t>Single-cell integration.</w:t>
      </w:r>
      <w:r>
        <w:rPr>
          <w:b w:val="0"/>
          <w:i w:val="0"/>
        </w:rPr>
        <w:t xml:space="preserve"> Linking causal results to cell-type-specific expression atlases would connect genetic causation to the cellular site of action, addressing the "which cell?" question that pure GWAS cannot answer.</w:t>
      </w:r>
    </w:p>
    <w:p>
      <w:pPr>
        <w:jc w:val="center"/>
      </w:pPr>
      <w:r>
        <w:rPr>
          <w:color w:val="CCCCCC"/>
        </w:rPr>
        <w:t>───────────────</w:t>
      </w:r>
    </w:p>
    <w:p>
      <w:pPr>
        <w:pStyle w:val="Heading2"/>
      </w:pPr>
      <w:r>
        <w:rPr>
          <w:b w:val="0"/>
          <w:i w:val="0"/>
        </w:rPr>
        <w:t>10. Conclusion</w:t>
      </w:r>
    </w:p>
    <w:p>
      <w:r>
        <w:rPr>
          <w:b w:val="0"/>
          <w:i w:val="0"/>
        </w:rPr>
        <w:t>The Virtual KO/OE Disease Atlas reduces the cost of asking a causal genetics question from hours-to-days of statistical work down to seconds of clicking. By pre-computing the 7.2-million-pair gene × disease grid and bundling perturbation simulations, biological-meaning visualizations, and comprehensive disease metadata, the resource brings population-scale causal evidence into the daily workflow of scientists and clinicians who would otherwise have no point of entry. The open-source architecture is reusable: future investigators are encouraged to extend the recipe to tissue-, cell-type-, or drug-stratified analogues.</w:t>
      </w:r>
    </w:p>
    <w:p>
      <w:pPr>
        <w:jc w:val="center"/>
      </w:pPr>
      <w:r>
        <w:rPr>
          <w:color w:val="CCCCCC"/>
        </w:rPr>
        <w:t>───────────────</w:t>
      </w:r>
    </w:p>
    <w:p>
      <w:pPr>
        <w:pStyle w:val="Heading2"/>
      </w:pPr>
      <w:r>
        <w:rPr>
          <w:b w:val="0"/>
          <w:i w:val="0"/>
        </w:rPr>
        <w:t>Resources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i w:val="0"/>
              </w:rPr>
              <w:t>Resource</w:t>
            </w:r>
          </w:p>
        </w:tc>
        <w:tc>
          <w:tcPr>
            <w:tcW w:type="dxa" w:w="4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i w:val="0"/>
              </w:rPr>
              <w:t>URL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Live application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&lt;https://is.gd/virtual_gene_atlas&gt;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Hugging Face Space (code, data, parquet)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&lt;https://huggingface.co/spaces/jianlizhao/GeneDisease-MR-Browser&gt;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Documentation repo (this file, README, INTERPRETATION)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b w:val="0"/>
                <w:i w:val="0"/>
              </w:rPr>
              <w:t>&lt;https://github.com/jimmyuab/Human-Digital-Disease-Model-Virtual-KOE-Disease-Atlas&gt;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Acknowledgments</w:t>
      </w:r>
    </w:p>
    <w:p>
      <w:r>
        <w:rPr>
          <w:b w:val="0"/>
          <w:i w:val="0"/>
        </w:rPr>
        <w:t xml:space="preserve">The Atlas is built on the public infrastructure of the HUGO Gene Nomenclature Committee (HGNC), the European Bioinformatics Institute GWAS Catalog, OpenGWAS, and the </w:t>
      </w:r>
      <w:r>
        <w:rPr>
          <w:rFonts w:ascii="Consolas" w:hAnsi="Consolas"/>
          <w:sz w:val="20"/>
        </w:rPr>
        <w:t>TwoSampleMR</w:t>
      </w:r>
      <w:r>
        <w:rPr>
          <w:b w:val="0"/>
          <w:i w:val="0"/>
        </w:rPr>
        <w:t xml:space="preserve"> R package. The web interface uses Gradio, Hugging Face Spaces, </w:t>
      </w:r>
      <w:r>
        <w:rPr>
          <w:rFonts w:ascii="Consolas" w:hAnsi="Consolas"/>
          <w:sz w:val="20"/>
        </w:rPr>
        <w:t>matplotlib</w:t>
      </w:r>
      <w:r>
        <w:rPr>
          <w:b w:val="0"/>
          <w:i w:val="0"/>
        </w:rPr>
        <w:t xml:space="preserve">, and </w:t>
      </w:r>
      <w:r>
        <w:rPr>
          <w:rFonts w:ascii="Consolas" w:hAnsi="Consolas"/>
          <w:sz w:val="20"/>
        </w:rPr>
        <w:t>adjustText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References (recommended for citation)</w:t>
      </w:r>
    </w:p>
    <w:p>
      <w:pPr>
        <w:pStyle w:val="ListBullet"/>
        <w:spacing w:after="40"/>
      </w:pPr>
      <w:r>
        <w:rPr>
          <w:b w:val="0"/>
          <w:i w:val="0"/>
        </w:rPr>
        <w:t xml:space="preserve">Smith, G. D., &amp; Ebrahim, S. (2003). "Mendelian randomization": can genetic epidemiology contribute to understanding environmental determinants of disease? </w:t>
      </w:r>
      <w:r>
        <w:rPr>
          <w:b w:val="0"/>
          <w:i/>
        </w:rPr>
        <w:t>International Journal of Epidemiology</w:t>
      </w:r>
      <w:r>
        <w:rPr>
          <w:b w:val="0"/>
          <w:i w:val="0"/>
        </w:rPr>
        <w:t xml:space="preserve">, </w:t>
      </w:r>
      <w:r>
        <w:rPr>
          <w:b/>
          <w:i w:val="0"/>
        </w:rPr>
        <w:t>32</w:t>
      </w:r>
      <w:r>
        <w:rPr>
          <w:b w:val="0"/>
          <w:i w:val="0"/>
        </w:rPr>
        <w:t>(1), 1–22.</w:t>
      </w:r>
    </w:p>
    <w:p>
      <w:pPr>
        <w:pStyle w:val="ListBullet"/>
        <w:spacing w:after="40"/>
      </w:pPr>
      <w:r>
        <w:rPr>
          <w:b w:val="0"/>
          <w:i w:val="0"/>
        </w:rPr>
        <w:t xml:space="preserve">Bowden, J., Davey Smith, G., &amp; Burgess, S. (2015). Mendelian randomization with invalid instruments: effect estimation and bias detection through Egger regression. </w:t>
      </w:r>
      <w:r>
        <w:rPr>
          <w:b w:val="0"/>
          <w:i/>
        </w:rPr>
        <w:t>International Journal of Epidemiology</w:t>
      </w:r>
      <w:r>
        <w:rPr>
          <w:b w:val="0"/>
          <w:i w:val="0"/>
        </w:rPr>
        <w:t xml:space="preserve">, </w:t>
      </w:r>
      <w:r>
        <w:rPr>
          <w:b/>
          <w:i w:val="0"/>
        </w:rPr>
        <w:t>44</w:t>
      </w:r>
      <w:r>
        <w:rPr>
          <w:b w:val="0"/>
          <w:i w:val="0"/>
        </w:rPr>
        <w:t>(2), 512–525. doi:</w:t>
      </w:r>
      <w:hyperlink r:id="rId10">
        <w:r>
          <w:rPr>
            <w:color w:val="1F6FEB"/>
            <w:u w:val="single"/>
          </w:rPr>
          <w:t xml:space="preserve">10.1093/ije/dyv080</w:t>
        </w:r>
      </w:hyperlink>
    </w:p>
    <w:p>
      <w:pPr>
        <w:pStyle w:val="ListBullet"/>
        <w:spacing w:after="40"/>
      </w:pPr>
      <w:r>
        <w:rPr>
          <w:b w:val="0"/>
          <w:i w:val="0"/>
        </w:rPr>
        <w:t xml:space="preserve">Davey Smith, G., &amp; Hemani, G. (2014). Mendelian randomization: genetic anchors for causal inference in epidemiological studies. </w:t>
      </w:r>
      <w:r>
        <w:rPr>
          <w:b w:val="0"/>
          <w:i/>
        </w:rPr>
        <w:t>Human Molecular Genetics</w:t>
      </w:r>
      <w:r>
        <w:rPr>
          <w:b w:val="0"/>
          <w:i w:val="0"/>
        </w:rPr>
        <w:t xml:space="preserve">, </w:t>
      </w:r>
      <w:r>
        <w:rPr>
          <w:b/>
          <w:i w:val="0"/>
        </w:rPr>
        <w:t>23</w:t>
      </w:r>
      <w:r>
        <w:rPr>
          <w:b w:val="0"/>
          <w:i w:val="0"/>
        </w:rPr>
        <w:t>(R1), R89–R98.</w:t>
      </w:r>
    </w:p>
    <w:p>
      <w:pPr>
        <w:pStyle w:val="ListBullet"/>
        <w:spacing w:after="40"/>
      </w:pPr>
      <w:r>
        <w:rPr>
          <w:b w:val="0"/>
          <w:i w:val="0"/>
        </w:rPr>
        <w:t xml:space="preserve">Hemani, G., Zheng, J., et al. (2018). The MR-Base platform supports systematic causal inference across the human phenome. </w:t>
      </w:r>
      <w:r>
        <w:rPr>
          <w:b w:val="0"/>
          <w:i/>
        </w:rPr>
        <w:t>eLife</w:t>
      </w:r>
      <w:r>
        <w:rPr>
          <w:b w:val="0"/>
          <w:i w:val="0"/>
        </w:rPr>
        <w:t xml:space="preserve">, </w:t>
      </w:r>
      <w:r>
        <w:rPr>
          <w:b/>
          <w:i w:val="0"/>
        </w:rPr>
        <w:t>7</w:t>
      </w:r>
      <w:r>
        <w:rPr>
          <w:b w:val="0"/>
          <w:i w:val="0"/>
        </w:rPr>
        <w:t>, e34408. doi:</w:t>
      </w:r>
      <w:hyperlink r:id="rId11">
        <w:r>
          <w:rPr>
            <w:color w:val="1F6FEB"/>
            <w:u w:val="single"/>
          </w:rPr>
          <w:t xml:space="preserve">10.7554/eLife.34408</w:t>
        </w:r>
      </w:hyperlink>
    </w:p>
    <w:p>
      <w:pPr>
        <w:pStyle w:val="ListBullet"/>
        <w:spacing w:after="40"/>
      </w:pPr>
      <w:r>
        <w:rPr>
          <w:b w:val="0"/>
          <w:i w:val="0"/>
        </w:rPr>
        <w:t xml:space="preserve">Elsworth, B., et al. (2020). The MRC IEU OpenGWAS data infrastructure. </w:t>
      </w:r>
      <w:r>
        <w:rPr>
          <w:b w:val="0"/>
          <w:i/>
        </w:rPr>
        <w:t>bioRxiv</w:t>
      </w:r>
      <w:r>
        <w:rPr>
          <w:b w:val="0"/>
          <w:i w:val="0"/>
        </w:rPr>
        <w:t xml:space="preserve"> (also referenced via OpenGWAS at &lt;https://gwas.mrcieu.ac.uk&gt;). doi:</w:t>
      </w:r>
      <w:hyperlink r:id="rId12">
        <w:r>
          <w:rPr>
            <w:color w:val="1F6FEB"/>
            <w:u w:val="single"/>
          </w:rPr>
          <w:t xml:space="preserve">10.1186/s13073-020-0714-9</w:t>
        </w:r>
      </w:hyperlink>
    </w:p>
    <w:p>
      <w:pPr>
        <w:pStyle w:val="ListBullet"/>
        <w:spacing w:after="40"/>
      </w:pPr>
      <w:r>
        <w:rPr>
          <w:b w:val="0"/>
          <w:i w:val="0"/>
        </w:rPr>
        <w:t xml:space="preserve">Sollis, E., et al. (2023). The NHGRI-EBI GWAS Catalog: knowledgebase and deposition resource. </w:t>
      </w:r>
      <w:r>
        <w:rPr>
          <w:b w:val="0"/>
          <w:i/>
        </w:rPr>
        <w:t>Nucleic Acids Research</w:t>
      </w:r>
      <w:r>
        <w:rPr>
          <w:b w:val="0"/>
          <w:i w:val="0"/>
        </w:rPr>
        <w:t xml:space="preserve">, </w:t>
      </w:r>
      <w:r>
        <w:rPr>
          <w:b/>
          <w:i w:val="0"/>
        </w:rPr>
        <w:t>51</w:t>
      </w:r>
      <w:r>
        <w:rPr>
          <w:b w:val="0"/>
          <w:i w:val="0"/>
        </w:rPr>
        <w:t>(D1), D977–D985. doi:</w:t>
      </w:r>
      <w:hyperlink r:id="rId13">
        <w:r>
          <w:rPr>
            <w:color w:val="1F6FEB"/>
            <w:u w:val="single"/>
          </w:rPr>
          <w:t xml:space="preserve">10.1093/nar/gkac1010</w:t>
        </w:r>
      </w:hyperlink>
    </w:p>
    <w:p>
      <w:pPr>
        <w:jc w:val="center"/>
      </w:pPr>
      <w:r>
        <w:rPr>
          <w:color w:val="CCCCCC"/>
        </w:rPr>
        <w:t>───────────────</w:t>
      </w:r>
    </w:p>
    <w:p>
      <w:pPr>
        <w:pStyle w:val="Heading2"/>
      </w:pPr>
      <w:r>
        <w:rPr>
          <w:b w:val="0"/>
          <w:i w:val="0"/>
        </w:rPr>
        <w:t>Suggested citation for the Atlas</w:t>
      </w:r>
    </w:p>
    <w:p>
      <w:pPr>
        <w:ind w:left="576" w:right="576"/>
      </w:pPr>
      <w:r>
        <w:rPr>
          <w:b w:val="0"/>
          <w:i/>
        </w:rPr>
        <w:t xml:space="preserve">Zhao, J. (2026). </w:t>
      </w:r>
      <w:r>
        <w:rPr>
          <w:b w:val="0"/>
          <w:i/>
        </w:rPr>
        <w:t>Virtual KO/OE Disease Atlas</w:t>
      </w:r>
      <w:r>
        <w:rPr>
          <w:b w:val="0"/>
          <w:i/>
        </w:rPr>
        <w:t xml:space="preserve">: pre-computed Mendelian Randomization and </w:t>
      </w:r>
      <w:r>
        <w:rPr>
          <w:b w:val="0"/>
          <w:i/>
        </w:rPr>
        <w:t>in-silico</w:t>
      </w:r>
      <w:r>
        <w:rPr>
          <w:b w:val="0"/>
          <w:i/>
        </w:rPr>
        <w:t xml:space="preserve"> perturbation simulation for 19,296 human genes × 374 GWAS diseases. Available at &lt;https://is.gd/virtual_gene_atlas&gt;. Source: &lt;https://github.com/jimmyuab/Human-Digital-Disease-Model-Virtual-KOE-Disease-Atlas&gt;.</w:t>
      </w:r>
    </w:p>
    <w:p>
      <w:pPr>
        <w:jc w:val="center"/>
      </w:pPr>
      <w:r>
        <w:rPr>
          <w:color w:val="CCCCCC"/>
        </w:rPr>
        <w:t>───────────────</w:t>
      </w:r>
    </w:p>
    <w:p>
      <w:r>
        <w:rPr>
          <w:b/>
          <w:i w:val="0"/>
        </w:rPr>
        <w:t>License.</w:t>
      </w:r>
      <w:r>
        <w:rPr>
          <w:b w:val="0"/>
          <w:i w:val="0"/>
        </w:rPr>
        <w:t xml:space="preserve"> Apache 2.0. See </w:t>
      </w:r>
      <w:hyperlink r:id="rId14">
        <w:r>
          <w:rPr>
            <w:color w:val="1F6FEB"/>
            <w:u w:val="single"/>
          </w:rPr>
          <w:t xml:space="preserve">LICENSE</w:t>
        </w:r>
      </w:hyperlink>
      <w:r>
        <w:rPr>
          <w:b w:val="0"/>
          <w:i w:val="0"/>
        </w:rPr>
        <w:t xml:space="preserve">. </w:t>
      </w:r>
      <w:r>
        <w:rPr>
          <w:b/>
          <w:i w:val="0"/>
        </w:rPr>
        <w:t>Correspondence.</w:t>
      </w:r>
      <w:r>
        <w:rPr>
          <w:b w:val="0"/>
          <w:i w:val="0"/>
        </w:rPr>
        <w:t xml:space="preserve"> Bug reports and feature requests via the GitHub Issues tracker on the documentation repository.</w:t>
      </w:r>
    </w:p>
    <w:sectPr w:rsidR="00FC693F" w:rsidRPr="0006063C" w:rsidSect="00034616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8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color w:val="1F3A6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color w:val="1F3A6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color w:val="1F3A6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jc w:val="left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A6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s.gd/virtual_gene_atlas" TargetMode="External"/><Relationship Id="rId10" Type="http://schemas.openxmlformats.org/officeDocument/2006/relationships/hyperlink" Target="https://doi.org/10.1093/ije/dyv080" TargetMode="External"/><Relationship Id="rId11" Type="http://schemas.openxmlformats.org/officeDocument/2006/relationships/hyperlink" Target="https://doi.org/10.7554/eLife.34408" TargetMode="External"/><Relationship Id="rId12" Type="http://schemas.openxmlformats.org/officeDocument/2006/relationships/hyperlink" Target="https://doi.org/10.1186/s13073-020-0714-9" TargetMode="External"/><Relationship Id="rId13" Type="http://schemas.openxmlformats.org/officeDocument/2006/relationships/hyperlink" Target="https://doi.org/10.1093/nar/gkac1010" TargetMode="External"/><Relationship Id="rId14" Type="http://schemas.openxmlformats.org/officeDocument/2006/relationships/hyperlink" Target="LICENSE" TargetMode="Externa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