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Plasma Immunome-Phenome Atlas and Plasma Immune Risk Score (PIRS)</w:t>
      </w:r>
    </w:p>
    <w:p>
      <w:pPr>
        <w:jc w:val="center"/>
      </w:pPr>
      <w:r>
        <w:rPr>
          <w:b/>
          <w:color w:val="2F5597"/>
          <w:sz w:val="28"/>
        </w:rPr>
        <w:t>A High-Level, Disease-Trained Platform for Causal Immune Target Discovery, Risk Prediction, and Novelty Prioritization</w:t>
      </w:r>
    </w:p>
    <w:p>
      <w:pPr>
        <w:jc w:val="center"/>
      </w:pPr>
      <w:r>
        <w:rPr>
          <w:i/>
          <w:color w:val="5A5A5A"/>
          <w:sz w:val="20"/>
        </w:rPr>
        <w:t>Improved methodology version</w:t>
      </w:r>
    </w:p>
    <w:p>
      <w:pPr>
        <w:pBdr>
          <w:bottom w:val="single" w:sz="8" w:space="1" w:color="1F4E79"/>
        </w:pBdr>
      </w:pPr>
    </w:p>
    <w:p>
      <w:pPr>
        <w:jc w:val="center"/>
      </w:pPr>
      <w:r>
        <w:rPr>
          <w:b/>
          <w:color w:val="1F4E79"/>
          <w:sz w:val="24"/>
        </w:rPr>
        <w:t>Core thesis</w:t>
      </w:r>
    </w:p>
    <w:p>
      <w:pPr>
        <w:jc w:val="center"/>
      </w:pPr>
      <w:r>
        <w:rPr>
          <w:b/>
          <w:sz w:val="22"/>
        </w:rPr>
        <w:t>A user can train PIRS on an authorized disease cohort and obtain not only a calibrated immune-protein risk model, but also a disease-specific novelty map that identifies mechanistically credible, direction-annotated, druggable immune targets for experimental follow-up.</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F4E79"/>
            <w:vAlign w:val="center"/>
          </w:tcPr>
          <w:p>
            <w:r/>
            <w:r>
              <w:rPr>
                <w:b/>
                <w:color w:val="FFFFFF"/>
                <w:sz w:val="16"/>
              </w:rPr>
              <w:t>Platform component</w:t>
            </w:r>
          </w:p>
        </w:tc>
        <w:tc>
          <w:tcPr>
            <w:tcW w:type="dxa" w:w="4536"/>
            <w:shd w:fill="1F4E79"/>
            <w:vAlign w:val="center"/>
          </w:tcPr>
          <w:p>
            <w:r/>
            <w:r>
              <w:rPr>
                <w:b/>
                <w:color w:val="FFFFFF"/>
                <w:sz w:val="16"/>
              </w:rPr>
              <w:t>What it does</w:t>
            </w:r>
          </w:p>
        </w:tc>
        <w:tc>
          <w:tcPr>
            <w:tcW w:type="dxa" w:w="3024"/>
            <w:shd w:fill="1F4E79"/>
            <w:vAlign w:val="center"/>
          </w:tcPr>
          <w:p>
            <w:r/>
            <w:r>
              <w:rPr>
                <w:b/>
                <w:color w:val="FFFFFF"/>
                <w:sz w:val="16"/>
              </w:rPr>
              <w:t>High-level output</w:t>
            </w:r>
          </w:p>
        </w:tc>
      </w:tr>
      <w:tr>
        <w:tc>
          <w:tcPr>
            <w:tcW w:type="dxa" w:w="2232"/>
            <w:vAlign w:val="top"/>
          </w:tcPr>
          <w:p>
            <w:r/>
            <w:r>
              <w:rPr>
                <w:b w:val="0"/>
                <w:sz w:val="16"/>
              </w:rPr>
              <w:t>Plasma Immunome Atlas</w:t>
            </w:r>
          </w:p>
        </w:tc>
        <w:tc>
          <w:tcPr>
            <w:tcW w:type="dxa" w:w="4536"/>
            <w:vAlign w:val="top"/>
          </w:tcPr>
          <w:p>
            <w:r/>
            <w:r>
              <w:rPr>
                <w:b w:val="0"/>
                <w:sz w:val="16"/>
              </w:rPr>
              <w:t>Connects circulating immune proteins to disease through genetics, MR, colocalization, pQTL validation, and replication.</w:t>
            </w:r>
          </w:p>
        </w:tc>
        <w:tc>
          <w:tcPr>
            <w:tcW w:type="dxa" w:w="3024"/>
            <w:vAlign w:val="top"/>
          </w:tcPr>
          <w:p>
            <w:r/>
            <w:r>
              <w:rPr>
                <w:b w:val="0"/>
                <w:sz w:val="16"/>
              </w:rPr>
              <w:t>Causal immune-protein map with direction and evidence tier.</w:t>
            </w:r>
          </w:p>
        </w:tc>
      </w:tr>
      <w:tr>
        <w:tc>
          <w:tcPr>
            <w:tcW w:type="dxa" w:w="2232"/>
            <w:vAlign w:val="top"/>
          </w:tcPr>
          <w:p>
            <w:r/>
            <w:r>
              <w:rPr>
                <w:b w:val="0"/>
                <w:sz w:val="16"/>
              </w:rPr>
              <w:t>PIRS trainer</w:t>
            </w:r>
          </w:p>
        </w:tc>
        <w:tc>
          <w:tcPr>
            <w:tcW w:type="dxa" w:w="4536"/>
            <w:vAlign w:val="top"/>
          </w:tcPr>
          <w:p>
            <w:r/>
            <w:r>
              <w:rPr>
                <w:b w:val="0"/>
                <w:sz w:val="16"/>
              </w:rPr>
              <w:t>Learns disease-specific risk weights from user-authorized plasma proteomics, outcomes, and covariates.</w:t>
            </w:r>
          </w:p>
        </w:tc>
        <w:tc>
          <w:tcPr>
            <w:tcW w:type="dxa" w:w="3024"/>
            <w:vAlign w:val="top"/>
          </w:tcPr>
          <w:p>
            <w:r/>
            <w:r>
              <w:rPr>
                <w:b w:val="0"/>
                <w:sz w:val="16"/>
              </w:rPr>
              <w:t>Validated immune risk score, per-protein weights, and cohort-specific performance.</w:t>
            </w:r>
          </w:p>
        </w:tc>
      </w:tr>
      <w:tr>
        <w:tc>
          <w:tcPr>
            <w:tcW w:type="dxa" w:w="2232"/>
            <w:vAlign w:val="top"/>
          </w:tcPr>
          <w:p>
            <w:r/>
            <w:r>
              <w:rPr>
                <w:b w:val="0"/>
                <w:sz w:val="16"/>
              </w:rPr>
              <w:t>Disease-trained novelty engine</w:t>
            </w:r>
          </w:p>
        </w:tc>
        <w:tc>
          <w:tcPr>
            <w:tcW w:type="dxa" w:w="4536"/>
            <w:vAlign w:val="top"/>
          </w:tcPr>
          <w:p>
            <w:r/>
            <w:r>
              <w:rPr>
                <w:b w:val="0"/>
                <w:sz w:val="16"/>
              </w:rPr>
              <w:t>Overlays PIRS weights with causal atlas evidence, druggability, cell source, pleiotropy, prior knowledge, and validation gaps.</w:t>
            </w:r>
          </w:p>
        </w:tc>
        <w:tc>
          <w:tcPr>
            <w:tcW w:type="dxa" w:w="3024"/>
            <w:vAlign w:val="top"/>
          </w:tcPr>
          <w:p>
            <w:r/>
            <w:r>
              <w:rPr>
                <w:b w:val="0"/>
                <w:sz w:val="16"/>
              </w:rPr>
              <w:t>Ranked novel targets and biomarker panels tailored to the user disease.</w:t>
            </w:r>
          </w:p>
        </w:tc>
      </w:tr>
      <w:tr>
        <w:tc>
          <w:tcPr>
            <w:tcW w:type="dxa" w:w="2232"/>
            <w:vAlign w:val="top"/>
          </w:tcPr>
          <w:p>
            <w:r/>
            <w:r>
              <w:rPr>
                <w:b w:val="0"/>
                <w:sz w:val="16"/>
              </w:rPr>
              <w:t>Translation module</w:t>
            </w:r>
          </w:p>
        </w:tc>
        <w:tc>
          <w:tcPr>
            <w:tcW w:type="dxa" w:w="4536"/>
            <w:vAlign w:val="top"/>
          </w:tcPr>
          <w:p>
            <w:r/>
            <w:r>
              <w:rPr>
                <w:b w:val="0"/>
                <w:sz w:val="16"/>
              </w:rPr>
              <w:t>Converts target direction into block/neutralize versus agonize/replace, and links each target to validation assays.</w:t>
            </w:r>
          </w:p>
        </w:tc>
        <w:tc>
          <w:tcPr>
            <w:tcW w:type="dxa" w:w="3024"/>
            <w:vAlign w:val="top"/>
          </w:tcPr>
          <w:p>
            <w:r/>
            <w:r>
              <w:rPr>
                <w:b w:val="0"/>
                <w:sz w:val="16"/>
              </w:rPr>
              <w:t>Actionable experimental plan and therapeutic hypothesis.</w:t>
            </w:r>
          </w:p>
        </w:tc>
      </w:tr>
    </w:tbl>
    <w:p/>
    <w:p>
      <w:pPr>
        <w:pStyle w:val="Heading1"/>
      </w:pPr>
      <w:r>
        <w:t>1. Executive summary</w:t>
      </w:r>
    </w:p>
    <w:p>
      <w:r>
        <w:t>This platform is designed to solve a central limitation in immune-proteomic disease research: many plasma proteins correlate with disease, but very few can be ranked by causal credibility, therapeutic direction, patient-level predictive value, and novelty in the same reproducible framework.</w:t>
      </w:r>
    </w:p>
    <w:p>
      <w:r>
        <w:t>The upgraded framework unifies two complementary products. The first is a genetics-anchored Plasma Immunome-Phenome Atlas that asks which circulating immune proteins causally influence which diseases, in which direction, and with what evidence tier. The second is PIRS, a disease-trainable prediction model that converts an individual-level immune proteome into a calibrated, disease-specific risk score.</w:t>
      </w:r>
    </w:p>
    <w:p>
      <w:r>
        <w:t>The key improvement is the addition of a disease-trained novelty-discovery layer. Instead of using PIRS only as a risk model, the user trains it within a disease cohort and then compares the proteins selected by the model against the causal atlas. Proteins that are predictive, genetically supported, colocalized, druggable, directionally interpretable, and not already explained by known drug axes become high-priority novel targets. Proteins that are predictive but lack genetic support become biomarkers or hypotheses requiring additional validation rather than causal claims.</w:t>
      </w:r>
    </w:p>
    <w:p>
      <w:r>
        <w:t>This structure allows the same platform to generate publishable outputs for many diseases: disease-specific immune risk scores, mechanistically concordant target lists, novel biomarker panels, therapeutic direction maps, patient stratification signatures, and figure-ready validation priorities.</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r/>
            <w:r>
              <w:rPr>
                <w:b/>
                <w:color w:val="FFFFFF"/>
                <w:sz w:val="15"/>
              </w:rPr>
              <w:t>Problem in the field</w:t>
            </w:r>
          </w:p>
        </w:tc>
        <w:tc>
          <w:tcPr>
            <w:tcW w:type="dxa" w:w="3960"/>
            <w:shd w:fill="1F4E79"/>
            <w:vAlign w:val="center"/>
          </w:tcPr>
          <w:p>
            <w:r/>
            <w:r>
              <w:rPr>
                <w:b/>
                <w:color w:val="FFFFFF"/>
                <w:sz w:val="15"/>
              </w:rPr>
              <w:t>Platform solution</w:t>
            </w:r>
          </w:p>
        </w:tc>
        <w:tc>
          <w:tcPr>
            <w:tcW w:type="dxa" w:w="3024"/>
            <w:shd w:fill="1F4E79"/>
            <w:vAlign w:val="center"/>
          </w:tcPr>
          <w:p>
            <w:r/>
            <w:r>
              <w:rPr>
                <w:b/>
                <w:color w:val="FFFFFF"/>
                <w:sz w:val="15"/>
              </w:rPr>
              <w:t>Novel result enabled</w:t>
            </w:r>
          </w:p>
        </w:tc>
      </w:tr>
      <w:tr>
        <w:tc>
          <w:tcPr>
            <w:tcW w:type="dxa" w:w="2880"/>
            <w:vAlign w:val="top"/>
          </w:tcPr>
          <w:p>
            <w:r/>
            <w:r>
              <w:rPr>
                <w:b w:val="0"/>
                <w:sz w:val="15"/>
              </w:rPr>
              <w:t>Proteomic associations are abundant but often non-causal.</w:t>
            </w:r>
          </w:p>
        </w:tc>
        <w:tc>
          <w:tcPr>
            <w:tcW w:type="dxa" w:w="3960"/>
            <w:vAlign w:val="top"/>
          </w:tcPr>
          <w:p>
            <w:r/>
            <w:r>
              <w:rPr>
                <w:b w:val="0"/>
                <w:sz w:val="15"/>
              </w:rPr>
              <w:t>Causal genetics, cis-MR, colocalization, pQTL validation, and replication are used before mechanistic language is allowed.</w:t>
            </w:r>
          </w:p>
        </w:tc>
        <w:tc>
          <w:tcPr>
            <w:tcW w:type="dxa" w:w="3024"/>
            <w:vAlign w:val="top"/>
          </w:tcPr>
          <w:p>
            <w:r/>
            <w:r>
              <w:rPr>
                <w:b w:val="0"/>
                <w:sz w:val="15"/>
              </w:rPr>
              <w:t>A tiered list of immune proteins with explicit causal credibility.</w:t>
            </w:r>
          </w:p>
        </w:tc>
      </w:tr>
      <w:tr>
        <w:tc>
          <w:tcPr>
            <w:tcW w:type="dxa" w:w="2880"/>
            <w:vAlign w:val="top"/>
          </w:tcPr>
          <w:p>
            <w:r/>
            <w:r>
              <w:rPr>
                <w:b w:val="0"/>
                <w:sz w:val="15"/>
              </w:rPr>
              <w:t>Risk prediction models are often black boxes.</w:t>
            </w:r>
          </w:p>
        </w:tc>
        <w:tc>
          <w:tcPr>
            <w:tcW w:type="dxa" w:w="3960"/>
            <w:vAlign w:val="top"/>
          </w:tcPr>
          <w:p>
            <w:r/>
            <w:r>
              <w:rPr>
                <w:b w:val="0"/>
                <w:sz w:val="15"/>
              </w:rPr>
              <w:t>PIRS restricts features to a curated plasma immunome and reports per-protein weights.</w:t>
            </w:r>
          </w:p>
        </w:tc>
        <w:tc>
          <w:tcPr>
            <w:tcW w:type="dxa" w:w="3024"/>
            <w:vAlign w:val="top"/>
          </w:tcPr>
          <w:p>
            <w:r/>
            <w:r>
              <w:rPr>
                <w:b w:val="0"/>
                <w:sz w:val="15"/>
              </w:rPr>
              <w:t>Interpretable disease-specific immune risk scores.</w:t>
            </w:r>
          </w:p>
        </w:tc>
      </w:tr>
      <w:tr>
        <w:tc>
          <w:tcPr>
            <w:tcW w:type="dxa" w:w="2880"/>
            <w:vAlign w:val="top"/>
          </w:tcPr>
          <w:p>
            <w:r/>
            <w:r>
              <w:rPr>
                <w:b w:val="0"/>
                <w:sz w:val="15"/>
              </w:rPr>
              <w:t>Targets may be known, confounded, or biologically redundant.</w:t>
            </w:r>
          </w:p>
        </w:tc>
        <w:tc>
          <w:tcPr>
            <w:tcW w:type="dxa" w:w="3960"/>
            <w:vAlign w:val="top"/>
          </w:tcPr>
          <w:p>
            <w:r/>
            <w:r>
              <w:rPr>
                <w:b w:val="0"/>
                <w:sz w:val="15"/>
              </w:rPr>
              <w:t>The novelty engine penalizes known drug axes and MHC/LD-confounded loci while rewarding causal strength, colocalization, pleiotropy, druggability, and defined cell source.</w:t>
            </w:r>
          </w:p>
        </w:tc>
        <w:tc>
          <w:tcPr>
            <w:tcW w:type="dxa" w:w="3024"/>
            <w:vAlign w:val="top"/>
          </w:tcPr>
          <w:p>
            <w:r/>
            <w:r>
              <w:rPr>
                <w:b w:val="0"/>
                <w:sz w:val="15"/>
              </w:rPr>
              <w:t>Novel, auditable, disease-specific target nominations.</w:t>
            </w:r>
          </w:p>
        </w:tc>
      </w:tr>
      <w:tr>
        <w:tc>
          <w:tcPr>
            <w:tcW w:type="dxa" w:w="2880"/>
            <w:vAlign w:val="top"/>
          </w:tcPr>
          <w:p>
            <w:r/>
            <w:r>
              <w:rPr>
                <w:b w:val="0"/>
                <w:sz w:val="15"/>
              </w:rPr>
              <w:t>Prediction may not translate into mechanism.</w:t>
            </w:r>
          </w:p>
        </w:tc>
        <w:tc>
          <w:tcPr>
            <w:tcW w:type="dxa" w:w="3960"/>
            <w:vAlign w:val="top"/>
          </w:tcPr>
          <w:p>
            <w:r/>
            <w:r>
              <w:rPr>
                <w:b w:val="0"/>
                <w:sz w:val="15"/>
              </w:rPr>
              <w:t>Causal-predictive concordance tests whether proteins selected by PIRS overlap the atlas-supported disease mechanisms.</w:t>
            </w:r>
          </w:p>
        </w:tc>
        <w:tc>
          <w:tcPr>
            <w:tcW w:type="dxa" w:w="3024"/>
            <w:vAlign w:val="top"/>
          </w:tcPr>
          <w:p>
            <w:r/>
            <w:r>
              <w:rPr>
                <w:b w:val="0"/>
                <w:sz w:val="15"/>
              </w:rPr>
              <w:t>Mechanism-driven patient stratification and target prioritization.</w:t>
            </w:r>
          </w:p>
        </w:tc>
      </w:tr>
    </w:tbl>
    <w:p/>
    <w:p>
      <w:pPr>
        <w:pStyle w:val="Heading1"/>
      </w:pPr>
      <w:r>
        <w:t>2. Improved abstract</w:t>
      </w:r>
    </w:p>
    <w:p>
      <w:r>
        <w:t>Circulating immune proteins are attractive biomarkers and therapeutic targets, yet disease-associated plasma signals are frequently difficult to interpret because association, causality, prediction, and novelty are usually evaluated in separate analytic systems. We present an integrated Plasma Immunome-Phenome Atlas and Plasma Immune Risk Score (PIRS) framework that converts the measurable plasma immune proteome into a genetics-anchored, disease-trainable discovery platform. The atlas begins with the Olink Explore proteome, curates a plasma-detectable immunome, instruments immune genes with blood cis-eQTLs, estimates disease effects by Mendelian randomization, tests shared-variant architecture by colocalization, validates selected signals with plasma cis-pQTLs, and replicates major findings in independent GWAS resources. Each immune protein-disease relationship is assigned an explicit evidence tier, ensuring that causal language is used only when supported by orthogonal evidence. The PIRS module then allows any authorized cohort with plasma proteomics, disease outcomes, and covariates to train a disease-specific immune risk score using leakage-free cross-validated elastic-net survival modeling. The disease-trained output is not limited to risk prediction: protein weights are overlaid with the causal atlas, cell-source annotation, druggability, pleiotropy, known-drug status, and MHC/LD caution to generate an auditable novelty-priority score. This enables users to identify immune proteins that are simultaneously predictive, mechanistically credible, directionally actionable, and underexplored. The resulting platform supports disease-specific risk stratification, mechanistic biomarker discovery, target nomination, drug-repurposing assessment, and experimental prioritization across autoimmune, cardiovascular, metabolic, renal, neurodegenerative, and aging-related disease programs.</w:t>
      </w:r>
    </w:p>
    <w:p>
      <w:pPr>
        <w:pStyle w:val="Heading1"/>
      </w:pPr>
      <w:r>
        <w:t>3. High-level scientific model</w:t>
      </w:r>
    </w:p>
    <w:p>
      <w:r>
        <w:t>The platform should be presented as a molecular-to-disease operating system rather than a single statistical pipeline. Its core object is the circulating immune proteome, but its interpretive power comes from connecting six layers: plasma protein abundance, cis-regulatory genetics, disease GWAS, cell source, druggability, and user-trained disease prediction.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shd w:fill="1F4E79"/>
            <w:vAlign w:val="center"/>
          </w:tcPr>
          <w:p>
            <w:r/>
            <w:r>
              <w:rPr>
                <w:b/>
                <w:color w:val="FFFFFF"/>
                <w:sz w:val="14"/>
              </w:rPr>
              <w:t>Layer</w:t>
            </w:r>
          </w:p>
        </w:tc>
        <w:tc>
          <w:tcPr>
            <w:tcW w:type="dxa" w:w="2088"/>
            <w:shd w:fill="1F4E79"/>
            <w:vAlign w:val="center"/>
          </w:tcPr>
          <w:p>
            <w:r/>
            <w:r>
              <w:rPr>
                <w:b/>
                <w:color w:val="FFFFFF"/>
                <w:sz w:val="14"/>
              </w:rPr>
              <w:t>Data type</w:t>
            </w:r>
          </w:p>
        </w:tc>
        <w:tc>
          <w:tcPr>
            <w:tcW w:type="dxa" w:w="3024"/>
            <w:shd w:fill="1F4E79"/>
            <w:vAlign w:val="center"/>
          </w:tcPr>
          <w:p>
            <w:r/>
            <w:r>
              <w:rPr>
                <w:b/>
                <w:color w:val="FFFFFF"/>
                <w:sz w:val="14"/>
              </w:rPr>
              <w:t>Role in the platform</w:t>
            </w:r>
          </w:p>
        </w:tc>
        <w:tc>
          <w:tcPr>
            <w:tcW w:type="dxa" w:w="2880"/>
            <w:shd w:fill="1F4E79"/>
            <w:vAlign w:val="center"/>
          </w:tcPr>
          <w:p>
            <w:r/>
            <w:r>
              <w:rPr>
                <w:b/>
                <w:color w:val="FFFFFF"/>
                <w:sz w:val="14"/>
              </w:rPr>
              <w:t>Reason it increases impact</w:t>
            </w:r>
          </w:p>
        </w:tc>
      </w:tr>
      <w:tr>
        <w:tc>
          <w:tcPr>
            <w:tcW w:type="dxa" w:w="1872"/>
            <w:vAlign w:val="top"/>
          </w:tcPr>
          <w:p>
            <w:r/>
            <w:r>
              <w:rPr>
                <w:b w:val="0"/>
                <w:sz w:val="14"/>
              </w:rPr>
              <w:t>Plasma immune protein</w:t>
            </w:r>
          </w:p>
        </w:tc>
        <w:tc>
          <w:tcPr>
            <w:tcW w:type="dxa" w:w="2088"/>
            <w:vAlign w:val="top"/>
          </w:tcPr>
          <w:p>
            <w:r/>
            <w:r>
              <w:rPr>
                <w:b w:val="0"/>
                <w:sz w:val="14"/>
              </w:rPr>
              <w:t>Olink/SomaScan/normalized proteomics</w:t>
            </w:r>
          </w:p>
        </w:tc>
        <w:tc>
          <w:tcPr>
            <w:tcW w:type="dxa" w:w="3024"/>
            <w:vAlign w:val="top"/>
          </w:tcPr>
          <w:p>
            <w:r/>
            <w:r>
              <w:rPr>
                <w:b w:val="0"/>
                <w:sz w:val="14"/>
              </w:rPr>
              <w:t>Measured feature space and candidate therapeutic space.</w:t>
            </w:r>
          </w:p>
        </w:tc>
        <w:tc>
          <w:tcPr>
            <w:tcW w:type="dxa" w:w="2880"/>
            <w:vAlign w:val="top"/>
          </w:tcPr>
          <w:p>
            <w:r/>
            <w:r>
              <w:rPr>
                <w:b w:val="0"/>
                <w:sz w:val="14"/>
              </w:rPr>
              <w:t>Makes the model clinically measurable and experimentally actionable.</w:t>
            </w:r>
          </w:p>
        </w:tc>
      </w:tr>
      <w:tr>
        <w:tc>
          <w:tcPr>
            <w:tcW w:type="dxa" w:w="1872"/>
            <w:vAlign w:val="top"/>
          </w:tcPr>
          <w:p>
            <w:r/>
            <w:r>
              <w:rPr>
                <w:b w:val="0"/>
                <w:sz w:val="14"/>
              </w:rPr>
              <w:t>cis-eQTL / cis-pQTL</w:t>
            </w:r>
          </w:p>
        </w:tc>
        <w:tc>
          <w:tcPr>
            <w:tcW w:type="dxa" w:w="2088"/>
            <w:vAlign w:val="top"/>
          </w:tcPr>
          <w:p>
            <w:r/>
            <w:r>
              <w:rPr>
                <w:b w:val="0"/>
                <w:sz w:val="14"/>
              </w:rPr>
              <w:t>Genetic regulation of transcript/protein</w:t>
            </w:r>
          </w:p>
        </w:tc>
        <w:tc>
          <w:tcPr>
            <w:tcW w:type="dxa" w:w="3024"/>
            <w:vAlign w:val="top"/>
          </w:tcPr>
          <w:p>
            <w:r/>
            <w:r>
              <w:rPr>
                <w:b w:val="0"/>
                <w:sz w:val="14"/>
              </w:rPr>
              <w:t>Natural experiment linking abundance to disease liability.</w:t>
            </w:r>
          </w:p>
        </w:tc>
        <w:tc>
          <w:tcPr>
            <w:tcW w:type="dxa" w:w="2880"/>
            <w:vAlign w:val="top"/>
          </w:tcPr>
          <w:p>
            <w:r/>
            <w:r>
              <w:rPr>
                <w:b w:val="0"/>
                <w:sz w:val="14"/>
              </w:rPr>
              <w:t>Moves beyond correlation toward causal inference.</w:t>
            </w:r>
          </w:p>
        </w:tc>
      </w:tr>
      <w:tr>
        <w:tc>
          <w:tcPr>
            <w:tcW w:type="dxa" w:w="1872"/>
            <w:vAlign w:val="top"/>
          </w:tcPr>
          <w:p>
            <w:r/>
            <w:r>
              <w:rPr>
                <w:b w:val="0"/>
                <w:sz w:val="14"/>
              </w:rPr>
              <w:t>Disease GWAS</w:t>
            </w:r>
          </w:p>
        </w:tc>
        <w:tc>
          <w:tcPr>
            <w:tcW w:type="dxa" w:w="2088"/>
            <w:vAlign w:val="top"/>
          </w:tcPr>
          <w:p>
            <w:r/>
            <w:r>
              <w:rPr>
                <w:b w:val="0"/>
                <w:sz w:val="14"/>
              </w:rPr>
              <w:t>Population-scale disease association</w:t>
            </w:r>
          </w:p>
        </w:tc>
        <w:tc>
          <w:tcPr>
            <w:tcW w:type="dxa" w:w="3024"/>
            <w:vAlign w:val="top"/>
          </w:tcPr>
          <w:p>
            <w:r/>
            <w:r>
              <w:rPr>
                <w:b w:val="0"/>
                <w:sz w:val="14"/>
              </w:rPr>
              <w:t>Outcome layer for MR and colocalization.</w:t>
            </w:r>
          </w:p>
        </w:tc>
        <w:tc>
          <w:tcPr>
            <w:tcW w:type="dxa" w:w="2880"/>
            <w:vAlign w:val="top"/>
          </w:tcPr>
          <w:p>
            <w:r/>
            <w:r>
              <w:rPr>
                <w:b w:val="0"/>
                <w:sz w:val="14"/>
              </w:rPr>
              <w:t>Enables pan-phenome causal mapping.</w:t>
            </w:r>
          </w:p>
        </w:tc>
      </w:tr>
      <w:tr>
        <w:tc>
          <w:tcPr>
            <w:tcW w:type="dxa" w:w="1872"/>
            <w:vAlign w:val="top"/>
          </w:tcPr>
          <w:p>
            <w:r/>
            <w:r>
              <w:rPr>
                <w:b w:val="0"/>
                <w:sz w:val="14"/>
              </w:rPr>
              <w:t>Cell source</w:t>
            </w:r>
          </w:p>
        </w:tc>
        <w:tc>
          <w:tcPr>
            <w:tcW w:type="dxa" w:w="2088"/>
            <w:vAlign w:val="top"/>
          </w:tcPr>
          <w:p>
            <w:r/>
            <w:r>
              <w:rPr>
                <w:b w:val="0"/>
                <w:sz w:val="14"/>
              </w:rPr>
              <w:t>Blood-cell lineage and expression annotation</w:t>
            </w:r>
          </w:p>
        </w:tc>
        <w:tc>
          <w:tcPr>
            <w:tcW w:type="dxa" w:w="3024"/>
            <w:vAlign w:val="top"/>
          </w:tcPr>
          <w:p>
            <w:r/>
            <w:r>
              <w:rPr>
                <w:b w:val="0"/>
                <w:sz w:val="14"/>
              </w:rPr>
              <w:t>Maps proteins to granulocyte, myeloid, T, B, NK, dendritic, or other immune origins.</w:t>
            </w:r>
          </w:p>
        </w:tc>
        <w:tc>
          <w:tcPr>
            <w:tcW w:type="dxa" w:w="2880"/>
            <w:vAlign w:val="top"/>
          </w:tcPr>
          <w:p>
            <w:r/>
            <w:r>
              <w:rPr>
                <w:b w:val="0"/>
                <w:sz w:val="14"/>
              </w:rPr>
              <w:t>Turns a target list into interpretable immune-cell biology.</w:t>
            </w:r>
          </w:p>
        </w:tc>
      </w:tr>
      <w:tr>
        <w:tc>
          <w:tcPr>
            <w:tcW w:type="dxa" w:w="1872"/>
            <w:vAlign w:val="top"/>
          </w:tcPr>
          <w:p>
            <w:r/>
            <w:r>
              <w:rPr>
                <w:b w:val="0"/>
                <w:sz w:val="14"/>
              </w:rPr>
              <w:t>Druggability and direction</w:t>
            </w:r>
          </w:p>
        </w:tc>
        <w:tc>
          <w:tcPr>
            <w:tcW w:type="dxa" w:w="2088"/>
            <w:vAlign w:val="top"/>
          </w:tcPr>
          <w:p>
            <w:r/>
            <w:r>
              <w:rPr>
                <w:b w:val="0"/>
                <w:sz w:val="14"/>
              </w:rPr>
              <w:t>Secretome, receptor, FDA target, antibody/biologic tractability</w:t>
            </w:r>
          </w:p>
        </w:tc>
        <w:tc>
          <w:tcPr>
            <w:tcW w:type="dxa" w:w="3024"/>
            <w:vAlign w:val="top"/>
          </w:tcPr>
          <w:p>
            <w:r/>
            <w:r>
              <w:rPr>
                <w:b w:val="0"/>
                <w:sz w:val="14"/>
              </w:rPr>
              <w:t>Defines whether to block, neutralize, agonize, or replace.</w:t>
            </w:r>
          </w:p>
        </w:tc>
        <w:tc>
          <w:tcPr>
            <w:tcW w:type="dxa" w:w="2880"/>
            <w:vAlign w:val="top"/>
          </w:tcPr>
          <w:p>
            <w:r/>
            <w:r>
              <w:rPr>
                <w:b w:val="0"/>
                <w:sz w:val="14"/>
              </w:rPr>
              <w:t>Makes results immediately useful for therapeutic strategy.</w:t>
            </w:r>
          </w:p>
        </w:tc>
      </w:tr>
      <w:tr>
        <w:tc>
          <w:tcPr>
            <w:tcW w:type="dxa" w:w="1872"/>
            <w:vAlign w:val="top"/>
          </w:tcPr>
          <w:p>
            <w:r/>
            <w:r>
              <w:rPr>
                <w:b w:val="0"/>
                <w:sz w:val="14"/>
              </w:rPr>
              <w:t>User disease training</w:t>
            </w:r>
          </w:p>
        </w:tc>
        <w:tc>
          <w:tcPr>
            <w:tcW w:type="dxa" w:w="2088"/>
            <w:vAlign w:val="top"/>
          </w:tcPr>
          <w:p>
            <w:r/>
            <w:r>
              <w:rPr>
                <w:b w:val="0"/>
                <w:sz w:val="14"/>
              </w:rPr>
              <w:t>Individual-level proteome, outcome, covariate data</w:t>
            </w:r>
          </w:p>
        </w:tc>
        <w:tc>
          <w:tcPr>
            <w:tcW w:type="dxa" w:w="3024"/>
            <w:vAlign w:val="top"/>
          </w:tcPr>
          <w:p>
            <w:r/>
            <w:r>
              <w:rPr>
                <w:b w:val="0"/>
                <w:sz w:val="14"/>
              </w:rPr>
              <w:t>Learns disease-specific risk weights in the user cohort.</w:t>
            </w:r>
          </w:p>
        </w:tc>
        <w:tc>
          <w:tcPr>
            <w:tcW w:type="dxa" w:w="2880"/>
            <w:vAlign w:val="top"/>
          </w:tcPr>
          <w:p>
            <w:r/>
            <w:r>
              <w:rPr>
                <w:b w:val="0"/>
                <w:sz w:val="14"/>
              </w:rPr>
              <w:t>Generates new disease-specific results and validates transportability.</w:t>
            </w:r>
          </w:p>
        </w:tc>
      </w:tr>
    </w:tbl>
    <w:p/>
    <w:p>
      <w:pPr>
        <w:pStyle w:val="Heading2"/>
      </w:pPr>
      <w:r>
        <w:t>3.1 Platform logic in one sentence</w:t>
      </w:r>
    </w:p>
    <w:p>
      <w:r>
        <w:t>The atlas identifies which immune proteins are mechanistically credible disease drivers; PIRS identifies which of those proteins actually predict disease in a user cohort; the novelty engine ranks the overlap as high-confidence, disease-trained, experimentally actionable new biology.</w:t>
      </w:r>
    </w:p>
    <w:p>
      <w:pPr>
        <w:pStyle w:val="Heading2"/>
      </w:pPr>
      <w:r>
        <w:t>3.2 What makes the framework high-level</w:t>
      </w:r>
    </w:p>
    <w:p>
      <w:pPr>
        <w:pStyle w:val="ListBullet"/>
        <w:spacing w:after="40"/>
      </w:pPr>
      <w:r>
        <w:t>It does not stop at association; it requires genetic anchoring and evidence-tiered interpretation.</w:t>
      </w:r>
    </w:p>
    <w:p>
      <w:pPr>
        <w:pStyle w:val="ListBullet"/>
        <w:spacing w:after="40"/>
      </w:pPr>
      <w:r>
        <w:t>It does not ship a fixed black-box score; it allows each authorized user to train disease-specific models in their own cohort.</w:t>
      </w:r>
    </w:p>
    <w:p>
      <w:pPr>
        <w:pStyle w:val="ListBullet"/>
        <w:spacing w:after="40"/>
      </w:pPr>
      <w:r>
        <w:t>It does not merely rediscover known immune targets; it explicitly penalizes known drug axes and prioritizes credible underexplored biology.</w:t>
      </w:r>
    </w:p>
    <w:p>
      <w:pPr>
        <w:pStyle w:val="ListBullet"/>
        <w:spacing w:after="40"/>
      </w:pPr>
      <w:r>
        <w:t>It does not overclaim; it separates biomarker prediction, causal nomination, protein-level support, and functional proof.</w:t>
      </w:r>
    </w:p>
    <w:p>
      <w:pPr>
        <w:pStyle w:val="ListBullet"/>
        <w:spacing w:after="40"/>
      </w:pPr>
      <w:r>
        <w:t>It is expandable: additional diseases, cohorts, ancestries, proteomic panels, and experimental data can be added as new platform layers.</w:t>
      </w:r>
    </w:p>
    <w:p>
      <w:pPr>
        <w:pStyle w:val="Heading1"/>
      </w:pPr>
      <w:r>
        <w:t>4. Disease-trained novelty discovery module</w:t>
      </w:r>
    </w:p>
    <w:p>
      <w:r>
        <w:t>The most important upgrade is to define how a user trains the model with a disease and obtains novel results. This should be described as a formal module, not as a secondary application.</w:t>
      </w:r>
    </w:p>
    <w:p>
      <w:pPr>
        <w:pStyle w:val="Heading2"/>
      </w:pPr>
      <w:r>
        <w:t>4.1 User input</w:t>
      </w:r>
    </w:p>
    <w:p>
      <w:pPr>
        <w:pStyle w:val="ListBullet"/>
        <w:spacing w:after="40"/>
      </w:pPr>
      <w:r>
        <w:t>A participant-by-protein matrix containing normalized plasma protein measurements, preferably Olink NPX or another standardized platform.</w:t>
      </w:r>
    </w:p>
    <w:p>
      <w:pPr>
        <w:pStyle w:val="ListBullet"/>
        <w:spacing w:after="40"/>
      </w:pPr>
      <w:r>
        <w:t>Disease labels with incident event status and follow-up time, or a fixed-horizon disease label when survival data are unavailable.</w:t>
      </w:r>
    </w:p>
    <w:p>
      <w:pPr>
        <w:pStyle w:val="ListBullet"/>
        <w:spacing w:after="40"/>
      </w:pPr>
      <w:r>
        <w:t>Covariates including at minimum age, sex, ancestry/PCs when available, batch/plate variables, and standard clinical predictors relevant to the disease.</w:t>
      </w:r>
    </w:p>
    <w:p>
      <w:pPr>
        <w:pStyle w:val="ListBullet"/>
        <w:spacing w:after="40"/>
      </w:pPr>
      <w:r>
        <w:t>Optional external validation cohort with matching proteomic platform, disease definition, and follow-up structure.</w:t>
      </w:r>
    </w:p>
    <w:p>
      <w:pPr>
        <w:pStyle w:val="Heading2"/>
      </w:pPr>
      <w:r>
        <w:t>4.2 Training objective</w:t>
      </w:r>
    </w:p>
    <w:p>
      <w:r>
        <w:t>For each user-selected disease, PIRS learns a sparse, stable set of plasma immune proteins whose baseline abundance predicts future disease risk. The model should be trained with strict fold separation so imputation, scaling, feature selection, and model fitting are learned only within the training fold and evaluated only on held-out participants.</w:t>
      </w:r>
    </w:p>
    <w:p>
      <w:pPr>
        <w:pStyle w:val="Heading2"/>
      </w:pPr>
      <w:r>
        <w:t>4.3 Novelty result definition</w:t>
      </w:r>
    </w:p>
    <w:p>
      <w:r>
        <w:t>A disease-trained novelty result is a protein or protein module that meets three conditions: it predicts disease in the user cohort; it has independent causal or mechanistic support from the atlas or related disease phenome; and it is not already fully explained by a known drug axis, MHC/LD artifact, or non-specific inflammatory marker. The strength of the novelty claim depends on evidence tier.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shd w:fill="1F4E79"/>
            <w:vAlign w:val="center"/>
          </w:tcPr>
          <w:p>
            <w:r/>
            <w:r>
              <w:rPr>
                <w:b/>
                <w:color w:val="FFFFFF"/>
                <w:sz w:val="14"/>
              </w:rPr>
              <w:t>Disease-trained class</w:t>
            </w:r>
          </w:p>
        </w:tc>
        <w:tc>
          <w:tcPr>
            <w:tcW w:type="dxa" w:w="3384"/>
            <w:shd w:fill="1F4E79"/>
            <w:vAlign w:val="center"/>
          </w:tcPr>
          <w:p>
            <w:r/>
            <w:r>
              <w:rPr>
                <w:b/>
                <w:color w:val="FFFFFF"/>
                <w:sz w:val="14"/>
              </w:rPr>
              <w:t>Definition</w:t>
            </w:r>
          </w:p>
        </w:tc>
        <w:tc>
          <w:tcPr>
            <w:tcW w:type="dxa" w:w="2592"/>
            <w:shd w:fill="1F4E79"/>
            <w:vAlign w:val="center"/>
          </w:tcPr>
          <w:p>
            <w:r/>
            <w:r>
              <w:rPr>
                <w:b/>
                <w:color w:val="FFFFFF"/>
                <w:sz w:val="14"/>
              </w:rPr>
              <w:t>Recommended language</w:t>
            </w:r>
          </w:p>
        </w:tc>
        <w:tc>
          <w:tcPr>
            <w:tcW w:type="dxa" w:w="2160"/>
            <w:shd w:fill="1F4E79"/>
            <w:vAlign w:val="center"/>
          </w:tcPr>
          <w:p>
            <w:r/>
            <w:r>
              <w:rPr>
                <w:b/>
                <w:color w:val="FFFFFF"/>
                <w:sz w:val="14"/>
              </w:rPr>
              <w:t>Next action</w:t>
            </w:r>
          </w:p>
        </w:tc>
      </w:tr>
      <w:tr>
        <w:tc>
          <w:tcPr>
            <w:tcW w:type="dxa" w:w="2016"/>
            <w:vAlign w:val="top"/>
          </w:tcPr>
          <w:p>
            <w:r/>
            <w:r>
              <w:rPr>
                <w:b w:val="0"/>
                <w:sz w:val="14"/>
              </w:rPr>
              <w:t>Class A: causal-predictive novel target</w:t>
            </w:r>
          </w:p>
        </w:tc>
        <w:tc>
          <w:tcPr>
            <w:tcW w:type="dxa" w:w="3384"/>
            <w:vAlign w:val="top"/>
          </w:tcPr>
          <w:p>
            <w:r/>
            <w:r>
              <w:rPr>
                <w:b w:val="0"/>
                <w:sz w:val="14"/>
              </w:rPr>
              <w:t>Non-zero PIRS weight; same-direction atlas MR; PP.H4 &gt;= 0.8; druggable or secreted/membrane; not a known approved-drug axis.</w:t>
            </w:r>
          </w:p>
        </w:tc>
        <w:tc>
          <w:tcPr>
            <w:tcW w:type="dxa" w:w="2592"/>
            <w:vAlign w:val="top"/>
          </w:tcPr>
          <w:p>
            <w:r/>
            <w:r>
              <w:rPr>
                <w:b w:val="0"/>
                <w:sz w:val="14"/>
              </w:rPr>
              <w:t>Novel disease-associated immune target with convergent predictive and causal evidence.</w:t>
            </w:r>
          </w:p>
        </w:tc>
        <w:tc>
          <w:tcPr>
            <w:tcW w:type="dxa" w:w="2160"/>
            <w:vAlign w:val="top"/>
          </w:tcPr>
          <w:p>
            <w:r/>
            <w:r>
              <w:rPr>
                <w:b w:val="0"/>
                <w:sz w:val="14"/>
              </w:rPr>
              <w:t>Prioritize for perturbation, protein assay validation, and disease-model testing.</w:t>
            </w:r>
          </w:p>
        </w:tc>
      </w:tr>
      <w:tr>
        <w:tc>
          <w:tcPr>
            <w:tcW w:type="dxa" w:w="2016"/>
            <w:vAlign w:val="top"/>
          </w:tcPr>
          <w:p>
            <w:r/>
            <w:r>
              <w:rPr>
                <w:b w:val="0"/>
                <w:sz w:val="14"/>
              </w:rPr>
              <w:t>Class B: predictive mechanistic biomarker</w:t>
            </w:r>
          </w:p>
        </w:tc>
        <w:tc>
          <w:tcPr>
            <w:tcW w:type="dxa" w:w="3384"/>
            <w:vAlign w:val="top"/>
          </w:tcPr>
          <w:p>
            <w:r/>
            <w:r>
              <w:rPr>
                <w:b w:val="0"/>
                <w:sz w:val="14"/>
              </w:rPr>
              <w:t>Non-zero PIRS weight; biologically plausible and cell-source-defined; causal evidence partial or absent.</w:t>
            </w:r>
          </w:p>
        </w:tc>
        <w:tc>
          <w:tcPr>
            <w:tcW w:type="dxa" w:w="2592"/>
            <w:vAlign w:val="top"/>
          </w:tcPr>
          <w:p>
            <w:r/>
            <w:r>
              <w:rPr>
                <w:b w:val="0"/>
                <w:sz w:val="14"/>
              </w:rPr>
              <w:t>Disease-predictive immune biomarker requiring causal validation.</w:t>
            </w:r>
          </w:p>
        </w:tc>
        <w:tc>
          <w:tcPr>
            <w:tcW w:type="dxa" w:w="2160"/>
            <w:vAlign w:val="top"/>
          </w:tcPr>
          <w:p>
            <w:r/>
            <w:r>
              <w:rPr>
                <w:b w:val="0"/>
                <w:sz w:val="14"/>
              </w:rPr>
              <w:t>Validate in external cohort and test experimentally.</w:t>
            </w:r>
          </w:p>
        </w:tc>
      </w:tr>
      <w:tr>
        <w:tc>
          <w:tcPr>
            <w:tcW w:type="dxa" w:w="2016"/>
            <w:vAlign w:val="top"/>
          </w:tcPr>
          <w:p>
            <w:r/>
            <w:r>
              <w:rPr>
                <w:b w:val="0"/>
                <w:sz w:val="14"/>
              </w:rPr>
              <w:t>Class C: repurposing signal</w:t>
            </w:r>
          </w:p>
        </w:tc>
        <w:tc>
          <w:tcPr>
            <w:tcW w:type="dxa" w:w="3384"/>
            <w:vAlign w:val="top"/>
          </w:tcPr>
          <w:p>
            <w:r/>
            <w:r>
              <w:rPr>
                <w:b w:val="0"/>
                <w:sz w:val="14"/>
              </w:rPr>
              <w:t>Non-zero PIRS weight overlaps an approved-drug target or known therapeutic axis.</w:t>
            </w:r>
          </w:p>
        </w:tc>
        <w:tc>
          <w:tcPr>
            <w:tcW w:type="dxa" w:w="2592"/>
            <w:vAlign w:val="top"/>
          </w:tcPr>
          <w:p>
            <w:r/>
            <w:r>
              <w:rPr>
                <w:b w:val="0"/>
                <w:sz w:val="14"/>
              </w:rPr>
              <w:t>Genetically and predictively supported repurposing or patient-selection signal.</w:t>
            </w:r>
          </w:p>
        </w:tc>
        <w:tc>
          <w:tcPr>
            <w:tcW w:type="dxa" w:w="2160"/>
            <w:vAlign w:val="top"/>
          </w:tcPr>
          <w:p>
            <w:r/>
            <w:r>
              <w:rPr>
                <w:b w:val="0"/>
                <w:sz w:val="14"/>
              </w:rPr>
              <w:t>Evaluate drug direction, adverse-effect logic, and trial enrichment.</w:t>
            </w:r>
          </w:p>
        </w:tc>
      </w:tr>
      <w:tr>
        <w:tc>
          <w:tcPr>
            <w:tcW w:type="dxa" w:w="2016"/>
            <w:vAlign w:val="top"/>
          </w:tcPr>
          <w:p>
            <w:r/>
            <w:r>
              <w:rPr>
                <w:b w:val="0"/>
                <w:sz w:val="14"/>
              </w:rPr>
              <w:t>Class D: caution signal</w:t>
            </w:r>
          </w:p>
        </w:tc>
        <w:tc>
          <w:tcPr>
            <w:tcW w:type="dxa" w:w="3384"/>
            <w:vAlign w:val="top"/>
          </w:tcPr>
          <w:p>
            <w:r/>
            <w:r>
              <w:rPr>
                <w:b w:val="0"/>
                <w:sz w:val="14"/>
              </w:rPr>
              <w:t>Signal dominated by MHC/LD, assay discordance, high missingness, or poor calibration.</w:t>
            </w:r>
          </w:p>
        </w:tc>
        <w:tc>
          <w:tcPr>
            <w:tcW w:type="dxa" w:w="2592"/>
            <w:vAlign w:val="top"/>
          </w:tcPr>
          <w:p>
            <w:r/>
            <w:r>
              <w:rPr>
                <w:b w:val="0"/>
                <w:sz w:val="14"/>
              </w:rPr>
              <w:t>Nomination only; not sufficient for causal or therapeutic claim.</w:t>
            </w:r>
          </w:p>
        </w:tc>
        <w:tc>
          <w:tcPr>
            <w:tcW w:type="dxa" w:w="2160"/>
            <w:vAlign w:val="top"/>
          </w:tcPr>
          <w:p>
            <w:r/>
            <w:r>
              <w:rPr>
                <w:b w:val="0"/>
                <w:sz w:val="14"/>
              </w:rPr>
              <w:t>Repeat with better instruments, pQTLs, ancestry-matched data, or orthogonal assays.</w:t>
            </w:r>
          </w:p>
        </w:tc>
      </w:tr>
    </w:tbl>
    <w:p/>
    <w:p>
      <w:pPr>
        <w:pStyle w:val="Heading2"/>
      </w:pPr>
      <w:r>
        <w:t>4.4 Novelty-priority score for user-trained disease models</w:t>
      </w:r>
    </w:p>
    <w:p>
      <w:r>
        <w:t>For each protein selected by PIRS in a user disease cohort, compute a disease-trained novelty score. The score should reward convergent evidence and penalize overclaiming.</w:t>
      </w:r>
    </w:p>
    <w:p>
      <w:pPr>
        <w:jc w:val="center"/>
      </w:pPr>
      <w:r>
        <w:rPr>
          <w:b/>
          <w:color w:val="1F4E79"/>
          <w:sz w:val="18"/>
        </w:rPr>
        <w:t>Disease-trained Novelty Score = Predictive Strength + Causal Evidence + Colocalization + Protein Support + Druggability + Cell Specificity + Cross-Disease Pleiotropy - Known-Drug Penalty - MHC/LD Penalty - Instability Penalty</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1F4E79"/>
            <w:vAlign w:val="center"/>
          </w:tcPr>
          <w:p>
            <w:r/>
            <w:r>
              <w:rPr>
                <w:b/>
                <w:color w:val="FFFFFF"/>
                <w:sz w:val="14"/>
              </w:rPr>
              <w:t>Component</w:t>
            </w:r>
          </w:p>
        </w:tc>
        <w:tc>
          <w:tcPr>
            <w:tcW w:type="dxa" w:w="3888"/>
            <w:shd w:fill="1F4E79"/>
            <w:vAlign w:val="center"/>
          </w:tcPr>
          <w:p>
            <w:r/>
            <w:r>
              <w:rPr>
                <w:b/>
                <w:color w:val="FFFFFF"/>
                <w:sz w:val="14"/>
              </w:rPr>
              <w:t>Suggested metric</w:t>
            </w:r>
          </w:p>
        </w:tc>
        <w:tc>
          <w:tcPr>
            <w:tcW w:type="dxa" w:w="3816"/>
            <w:shd w:fill="1F4E79"/>
            <w:vAlign w:val="center"/>
          </w:tcPr>
          <w:p>
            <w:r/>
            <w:r>
              <w:rPr>
                <w:b/>
                <w:color w:val="FFFFFF"/>
                <w:sz w:val="14"/>
              </w:rPr>
              <w:t>Interpretation</w:t>
            </w:r>
          </w:p>
        </w:tc>
      </w:tr>
      <w:tr>
        <w:tc>
          <w:tcPr>
            <w:tcW w:type="dxa" w:w="2088"/>
            <w:vAlign w:val="top"/>
          </w:tcPr>
          <w:p>
            <w:r/>
            <w:r>
              <w:rPr>
                <w:b w:val="0"/>
                <w:sz w:val="14"/>
              </w:rPr>
              <w:t>Predictive strength</w:t>
            </w:r>
          </w:p>
        </w:tc>
        <w:tc>
          <w:tcPr>
            <w:tcW w:type="dxa" w:w="3888"/>
            <w:vAlign w:val="top"/>
          </w:tcPr>
          <w:p>
            <w:r/>
            <w:r>
              <w:rPr>
                <w:b w:val="0"/>
                <w:sz w:val="14"/>
              </w:rPr>
              <w:t>Absolute standardized PIRS coefficient; stability selection frequency; external validation weight retention.</w:t>
            </w:r>
          </w:p>
        </w:tc>
        <w:tc>
          <w:tcPr>
            <w:tcW w:type="dxa" w:w="3816"/>
            <w:vAlign w:val="top"/>
          </w:tcPr>
          <w:p>
            <w:r/>
            <w:r>
              <w:rPr>
                <w:b w:val="0"/>
                <w:sz w:val="14"/>
              </w:rPr>
              <w:t>Identifies proteins that repeatedly contribute to disease prediction.</w:t>
            </w:r>
          </w:p>
        </w:tc>
      </w:tr>
      <w:tr>
        <w:tc>
          <w:tcPr>
            <w:tcW w:type="dxa" w:w="2088"/>
            <w:vAlign w:val="top"/>
          </w:tcPr>
          <w:p>
            <w:r/>
            <w:r>
              <w:rPr>
                <w:b w:val="0"/>
                <w:sz w:val="14"/>
              </w:rPr>
              <w:t>Causal evidence</w:t>
            </w:r>
          </w:p>
        </w:tc>
        <w:tc>
          <w:tcPr>
            <w:tcW w:type="dxa" w:w="3888"/>
            <w:vAlign w:val="top"/>
          </w:tcPr>
          <w:p>
            <w:r/>
            <w:r>
              <w:rPr>
                <w:b w:val="0"/>
                <w:sz w:val="14"/>
              </w:rPr>
              <w:t>-log10(FDR) from cis-MR; evidence tier from atlas.</w:t>
            </w:r>
          </w:p>
        </w:tc>
        <w:tc>
          <w:tcPr>
            <w:tcW w:type="dxa" w:w="3816"/>
            <w:vAlign w:val="top"/>
          </w:tcPr>
          <w:p>
            <w:r/>
            <w:r>
              <w:rPr>
                <w:b w:val="0"/>
                <w:sz w:val="14"/>
              </w:rPr>
              <w:t>Separates mechanistic candidates from pure biomarkers.</w:t>
            </w:r>
          </w:p>
        </w:tc>
      </w:tr>
      <w:tr>
        <w:tc>
          <w:tcPr>
            <w:tcW w:type="dxa" w:w="2088"/>
            <w:vAlign w:val="top"/>
          </w:tcPr>
          <w:p>
            <w:r/>
            <w:r>
              <w:rPr>
                <w:b w:val="0"/>
                <w:sz w:val="14"/>
              </w:rPr>
              <w:t>Colocalization</w:t>
            </w:r>
          </w:p>
        </w:tc>
        <w:tc>
          <w:tcPr>
            <w:tcW w:type="dxa" w:w="3888"/>
            <w:vAlign w:val="top"/>
          </w:tcPr>
          <w:p>
            <w:r/>
            <w:r>
              <w:rPr>
                <w:b w:val="0"/>
                <w:sz w:val="14"/>
              </w:rPr>
              <w:t>PP.H4, with PP.H3 tracked as a downgrade signal.</w:t>
            </w:r>
          </w:p>
        </w:tc>
        <w:tc>
          <w:tcPr>
            <w:tcW w:type="dxa" w:w="3816"/>
            <w:vAlign w:val="top"/>
          </w:tcPr>
          <w:p>
            <w:r/>
            <w:r>
              <w:rPr>
                <w:b w:val="0"/>
                <w:sz w:val="14"/>
              </w:rPr>
              <w:t>Tests whether exposure and disease share the same causal variant.</w:t>
            </w:r>
          </w:p>
        </w:tc>
      </w:tr>
      <w:tr>
        <w:tc>
          <w:tcPr>
            <w:tcW w:type="dxa" w:w="2088"/>
            <w:vAlign w:val="top"/>
          </w:tcPr>
          <w:p>
            <w:r/>
            <w:r>
              <w:rPr>
                <w:b w:val="0"/>
                <w:sz w:val="14"/>
              </w:rPr>
              <w:t>Protein support</w:t>
            </w:r>
          </w:p>
        </w:tc>
        <w:tc>
          <w:tcPr>
            <w:tcW w:type="dxa" w:w="3888"/>
            <w:vAlign w:val="top"/>
          </w:tcPr>
          <w:p>
            <w:r/>
            <w:r>
              <w:rPr>
                <w:b w:val="0"/>
                <w:sz w:val="14"/>
              </w:rPr>
              <w:t>Concordant pQTL-MR and pQTL colocalization when available.</w:t>
            </w:r>
          </w:p>
        </w:tc>
        <w:tc>
          <w:tcPr>
            <w:tcW w:type="dxa" w:w="3816"/>
            <w:vAlign w:val="top"/>
          </w:tcPr>
          <w:p>
            <w:r/>
            <w:r>
              <w:rPr>
                <w:b w:val="0"/>
                <w:sz w:val="14"/>
              </w:rPr>
              <w:t>Bridges transcript-level genetics to therapeutic protein biology.</w:t>
            </w:r>
          </w:p>
        </w:tc>
      </w:tr>
      <w:tr>
        <w:tc>
          <w:tcPr>
            <w:tcW w:type="dxa" w:w="2088"/>
            <w:vAlign w:val="top"/>
          </w:tcPr>
          <w:p>
            <w:r/>
            <w:r>
              <w:rPr>
                <w:b w:val="0"/>
                <w:sz w:val="14"/>
              </w:rPr>
              <w:t>Druggability</w:t>
            </w:r>
          </w:p>
        </w:tc>
        <w:tc>
          <w:tcPr>
            <w:tcW w:type="dxa" w:w="3888"/>
            <w:vAlign w:val="top"/>
          </w:tcPr>
          <w:p>
            <w:r/>
            <w:r>
              <w:rPr>
                <w:b w:val="0"/>
                <w:sz w:val="14"/>
              </w:rPr>
              <w:t>Secreted/receptor/membrane status, known modality tractability, HPA drug target fields.</w:t>
            </w:r>
          </w:p>
        </w:tc>
        <w:tc>
          <w:tcPr>
            <w:tcW w:type="dxa" w:w="3816"/>
            <w:vAlign w:val="top"/>
          </w:tcPr>
          <w:p>
            <w:r/>
            <w:r>
              <w:rPr>
                <w:b w:val="0"/>
                <w:sz w:val="14"/>
              </w:rPr>
              <w:t>Prioritizes targets that can realistically be perturbed.</w:t>
            </w:r>
          </w:p>
        </w:tc>
      </w:tr>
      <w:tr>
        <w:tc>
          <w:tcPr>
            <w:tcW w:type="dxa" w:w="2088"/>
            <w:vAlign w:val="top"/>
          </w:tcPr>
          <w:p>
            <w:r/>
            <w:r>
              <w:rPr>
                <w:b w:val="0"/>
                <w:sz w:val="14"/>
              </w:rPr>
              <w:t>Cell specificity</w:t>
            </w:r>
          </w:p>
        </w:tc>
        <w:tc>
          <w:tcPr>
            <w:tcW w:type="dxa" w:w="3888"/>
            <w:vAlign w:val="top"/>
          </w:tcPr>
          <w:p>
            <w:r/>
            <w:r>
              <w:rPr>
                <w:b w:val="0"/>
                <w:sz w:val="14"/>
              </w:rPr>
              <w:t>Defined immune-cell source, enrichment in disease-relevant lineage.</w:t>
            </w:r>
          </w:p>
        </w:tc>
        <w:tc>
          <w:tcPr>
            <w:tcW w:type="dxa" w:w="3816"/>
            <w:vAlign w:val="top"/>
          </w:tcPr>
          <w:p>
            <w:r/>
            <w:r>
              <w:rPr>
                <w:b w:val="0"/>
                <w:sz w:val="14"/>
              </w:rPr>
              <w:t>Improves biological interpretability and experimental design.</w:t>
            </w:r>
          </w:p>
        </w:tc>
      </w:tr>
      <w:tr>
        <w:tc>
          <w:tcPr>
            <w:tcW w:type="dxa" w:w="2088"/>
            <w:vAlign w:val="top"/>
          </w:tcPr>
          <w:p>
            <w:r/>
            <w:r>
              <w:rPr>
                <w:b w:val="0"/>
                <w:sz w:val="14"/>
              </w:rPr>
              <w:t>Penalties</w:t>
            </w:r>
          </w:p>
        </w:tc>
        <w:tc>
          <w:tcPr>
            <w:tcW w:type="dxa" w:w="3888"/>
            <w:vAlign w:val="top"/>
          </w:tcPr>
          <w:p>
            <w:r/>
            <w:r>
              <w:rPr>
                <w:b w:val="0"/>
                <w:sz w:val="14"/>
              </w:rPr>
              <w:t>Known-drug axis, MHC/LD complexity, unstable CV selection, platform-specific missingness.</w:t>
            </w:r>
          </w:p>
        </w:tc>
        <w:tc>
          <w:tcPr>
            <w:tcW w:type="dxa" w:w="3816"/>
            <w:vAlign w:val="top"/>
          </w:tcPr>
          <w:p>
            <w:r/>
            <w:r>
              <w:rPr>
                <w:b w:val="0"/>
                <w:sz w:val="14"/>
              </w:rPr>
              <w:t>Prevents rediscovery or technical artifacts from being overcalled as novelty.</w:t>
            </w:r>
          </w:p>
        </w:tc>
      </w:tr>
    </w:tbl>
    <w:p/>
    <w:p>
      <w:pPr>
        <w:pStyle w:val="Heading1"/>
      </w:pPr>
      <w:r>
        <w:t>5. Recommended disease-training pipeline</w:t>
      </w:r>
    </w:p>
    <w:p>
      <w:r>
        <w:t>The following pipeline makes the user-trained disease module reproducible and publication-ready.</w:t>
      </w:r>
    </w:p>
    <w:p>
      <w:pPr>
        <w:pStyle w:val="ListNumber"/>
        <w:spacing w:after="40"/>
      </w:pPr>
      <w:r>
        <w:t>Define the disease endpoint. Use incident disease, standardized diagnostic codes, adjudicated outcomes, or a clearly specified fixed-horizon label. Record case count, control/censoring structure, follow-up time, and phenotype definition.</w:t>
      </w:r>
    </w:p>
    <w:p>
      <w:pPr>
        <w:pStyle w:val="ListNumber"/>
        <w:spacing w:after="40"/>
      </w:pPr>
      <w:r>
        <w:t>Prepare the proteomic matrix. Harmonize protein identifiers to gene symbols and Olink IDs; remove failed assays; correct batch and plate effects; quantify missingness; and restrict features to the curated plasma immunome.</w:t>
      </w:r>
    </w:p>
    <w:p>
      <w:pPr>
        <w:pStyle w:val="ListNumber"/>
        <w:spacing w:after="40"/>
      </w:pPr>
      <w:r>
        <w:t>Split data for honest evaluation. Use stratified cross-validation for internal evaluation and, when possible, hold out a temporally or geographically independent cohort for external validation.</w:t>
      </w:r>
    </w:p>
    <w:p>
      <w:pPr>
        <w:pStyle w:val="ListNumber"/>
        <w:spacing w:after="40"/>
      </w:pPr>
      <w:r>
        <w:t>Train disease-specific PIRS. Fit an elastic-net Cox model for survival outcomes or a penalized logistic model for fixed-horizon disease risk. Keep preprocessing inside the training fold.</w:t>
      </w:r>
    </w:p>
    <w:p>
      <w:pPr>
        <w:pStyle w:val="ListNumber"/>
        <w:spacing w:after="40"/>
      </w:pPr>
      <w:r>
        <w:t>Extract interpretable weights. Report non-zero proteins, coefficient signs, selection stability, model discrimination, calibration, and incremental value over clinical covariates.</w:t>
      </w:r>
    </w:p>
    <w:p>
      <w:pPr>
        <w:pStyle w:val="ListNumber"/>
        <w:spacing w:after="40"/>
      </w:pPr>
      <w:r>
        <w:t>Overlay with atlas evidence. For every selected protein, add MR direction, FDR, PP.H4, pQTL support, replication status, cell source, druggability, and known-drug status.</w:t>
      </w:r>
    </w:p>
    <w:p>
      <w:pPr>
        <w:pStyle w:val="ListNumber"/>
        <w:spacing w:after="40"/>
      </w:pPr>
      <w:r>
        <w:t>Generate novelty-priority results. Classify each protein into target, biomarker, repurposing, or caution classes and rank by the disease-trained novelty score.</w:t>
      </w:r>
    </w:p>
    <w:p>
      <w:pPr>
        <w:pStyle w:val="ListNumber"/>
        <w:spacing w:after="40"/>
      </w:pPr>
      <w:r>
        <w:t>Build mechanistic modules. Cluster selected proteins into immune pathways and cell-source modules, then test whether modules align with known disease biology or reveal a new axis.</w:t>
      </w:r>
    </w:p>
    <w:p>
      <w:pPr>
        <w:pStyle w:val="ListNumber"/>
        <w:spacing w:after="40"/>
      </w:pPr>
      <w:r>
        <w:t>Validate externally. Apply the frozen imputer, scaler, and coefficients to an independent cohort without refitting; report discrimination, calibration, and preservation of protein ranking.</w:t>
      </w:r>
    </w:p>
    <w:p>
      <w:pPr>
        <w:pStyle w:val="ListNumber"/>
        <w:spacing w:after="40"/>
      </w:pPr>
      <w:r>
        <w:t>Design experiments. Select top targets for perturbation based on therapeutic direction, disease-cell relevance, assay feasibility, and evidence tier.</w:t>
      </w:r>
    </w:p>
    <w:p>
      <w:pPr>
        <w:pStyle w:val="Heading1"/>
      </w:pPr>
      <w:r>
        <w:t>6. User-facing outputs after disease training</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F4E79"/>
            <w:vAlign w:val="center"/>
          </w:tcPr>
          <w:p>
            <w:r/>
            <w:r>
              <w:rPr>
                <w:b/>
                <w:color w:val="FFFFFF"/>
                <w:sz w:val="14"/>
              </w:rPr>
              <w:t>Output</w:t>
            </w:r>
          </w:p>
        </w:tc>
        <w:tc>
          <w:tcPr>
            <w:tcW w:type="dxa" w:w="3600"/>
            <w:shd w:fill="1F4E79"/>
            <w:vAlign w:val="center"/>
          </w:tcPr>
          <w:p>
            <w:r/>
            <w:r>
              <w:rPr>
                <w:b/>
                <w:color w:val="FFFFFF"/>
                <w:sz w:val="14"/>
              </w:rPr>
              <w:t>What the user receives</w:t>
            </w:r>
          </w:p>
        </w:tc>
        <w:tc>
          <w:tcPr>
            <w:tcW w:type="dxa" w:w="4032"/>
            <w:shd w:fill="1F4E79"/>
            <w:vAlign w:val="center"/>
          </w:tcPr>
          <w:p>
            <w:r/>
            <w:r>
              <w:rPr>
                <w:b/>
                <w:color w:val="FFFFFF"/>
                <w:sz w:val="14"/>
              </w:rPr>
              <w:t>How it can become a novel result</w:t>
            </w:r>
          </w:p>
        </w:tc>
      </w:tr>
      <w:tr>
        <w:tc>
          <w:tcPr>
            <w:tcW w:type="dxa" w:w="2232"/>
            <w:vAlign w:val="top"/>
          </w:tcPr>
          <w:p>
            <w:r/>
            <w:r>
              <w:rPr>
                <w:b w:val="0"/>
                <w:sz w:val="14"/>
              </w:rPr>
              <w:t>Disease PIRS score</w:t>
            </w:r>
          </w:p>
        </w:tc>
        <w:tc>
          <w:tcPr>
            <w:tcW w:type="dxa" w:w="3600"/>
            <w:vAlign w:val="top"/>
          </w:tcPr>
          <w:p>
            <w:r/>
            <w:r>
              <w:rPr>
                <w:b w:val="0"/>
                <w:sz w:val="14"/>
              </w:rPr>
              <w:t>A validated immune-protein risk score for the selected disease.</w:t>
            </w:r>
          </w:p>
        </w:tc>
        <w:tc>
          <w:tcPr>
            <w:tcW w:type="dxa" w:w="4032"/>
            <w:vAlign w:val="top"/>
          </w:tcPr>
          <w:p>
            <w:r/>
            <w:r>
              <w:rPr>
                <w:b w:val="0"/>
                <w:sz w:val="14"/>
              </w:rPr>
              <w:t>Shows that the disease has a measurable plasma immune-risk architecture.</w:t>
            </w:r>
          </w:p>
        </w:tc>
      </w:tr>
      <w:tr>
        <w:tc>
          <w:tcPr>
            <w:tcW w:type="dxa" w:w="2232"/>
            <w:vAlign w:val="top"/>
          </w:tcPr>
          <w:p>
            <w:r/>
            <w:r>
              <w:rPr>
                <w:b w:val="0"/>
                <w:sz w:val="14"/>
              </w:rPr>
              <w:t>Protein weight table</w:t>
            </w:r>
          </w:p>
        </w:tc>
        <w:tc>
          <w:tcPr>
            <w:tcW w:type="dxa" w:w="3600"/>
            <w:vAlign w:val="top"/>
          </w:tcPr>
          <w:p>
            <w:r/>
            <w:r>
              <w:rPr>
                <w:b w:val="0"/>
                <w:sz w:val="14"/>
              </w:rPr>
              <w:t>Non-zero proteins with coefficient sign, magnitude, stability, and annotation.</w:t>
            </w:r>
          </w:p>
        </w:tc>
        <w:tc>
          <w:tcPr>
            <w:tcW w:type="dxa" w:w="4032"/>
            <w:vAlign w:val="top"/>
          </w:tcPr>
          <w:p>
            <w:r/>
            <w:r>
              <w:rPr>
                <w:b w:val="0"/>
                <w:sz w:val="14"/>
              </w:rPr>
              <w:t>Identifies disease-specific immune proteins not obvious from univariate analysis.</w:t>
            </w:r>
          </w:p>
        </w:tc>
      </w:tr>
      <w:tr>
        <w:tc>
          <w:tcPr>
            <w:tcW w:type="dxa" w:w="2232"/>
            <w:vAlign w:val="top"/>
          </w:tcPr>
          <w:p>
            <w:r/>
            <w:r>
              <w:rPr>
                <w:b w:val="0"/>
                <w:sz w:val="14"/>
              </w:rPr>
              <w:t>Causal-predictive concordance map</w:t>
            </w:r>
          </w:p>
        </w:tc>
        <w:tc>
          <w:tcPr>
            <w:tcW w:type="dxa" w:w="3600"/>
            <w:vAlign w:val="top"/>
          </w:tcPr>
          <w:p>
            <w:r/>
            <w:r>
              <w:rPr>
                <w:b w:val="0"/>
                <w:sz w:val="14"/>
              </w:rPr>
              <w:t>Overlap between PIRS-selected proteins and atlas-supported causal proteins.</w:t>
            </w:r>
          </w:p>
        </w:tc>
        <w:tc>
          <w:tcPr>
            <w:tcW w:type="dxa" w:w="4032"/>
            <w:vAlign w:val="top"/>
          </w:tcPr>
          <w:p>
            <w:r/>
            <w:r>
              <w:rPr>
                <w:b w:val="0"/>
                <w:sz w:val="14"/>
              </w:rPr>
              <w:t>Prioritizes proteins likely to be mechanistically relevant, not merely predictive.</w:t>
            </w:r>
          </w:p>
        </w:tc>
      </w:tr>
      <w:tr>
        <w:tc>
          <w:tcPr>
            <w:tcW w:type="dxa" w:w="2232"/>
            <w:vAlign w:val="top"/>
          </w:tcPr>
          <w:p>
            <w:r/>
            <w:r>
              <w:rPr>
                <w:b w:val="0"/>
                <w:sz w:val="14"/>
              </w:rPr>
              <w:t>Novelty-priority table</w:t>
            </w:r>
          </w:p>
        </w:tc>
        <w:tc>
          <w:tcPr>
            <w:tcW w:type="dxa" w:w="3600"/>
            <w:vAlign w:val="top"/>
          </w:tcPr>
          <w:p>
            <w:r/>
            <w:r>
              <w:rPr>
                <w:b w:val="0"/>
                <w:sz w:val="14"/>
              </w:rPr>
              <w:t>Ranked proteins with causal, predictive, druggability, cell-source, and known-drug penalties.</w:t>
            </w:r>
          </w:p>
        </w:tc>
        <w:tc>
          <w:tcPr>
            <w:tcW w:type="dxa" w:w="4032"/>
            <w:vAlign w:val="top"/>
          </w:tcPr>
          <w:p>
            <w:r/>
            <w:r>
              <w:rPr>
                <w:b w:val="0"/>
                <w:sz w:val="14"/>
              </w:rPr>
              <w:t>Creates a publishable list of new disease target nominations.</w:t>
            </w:r>
          </w:p>
        </w:tc>
      </w:tr>
      <w:tr>
        <w:tc>
          <w:tcPr>
            <w:tcW w:type="dxa" w:w="2232"/>
            <w:vAlign w:val="top"/>
          </w:tcPr>
          <w:p>
            <w:r/>
            <w:r>
              <w:rPr>
                <w:b w:val="0"/>
                <w:sz w:val="14"/>
              </w:rPr>
              <w:t>Therapeutic direction map</w:t>
            </w:r>
          </w:p>
        </w:tc>
        <w:tc>
          <w:tcPr>
            <w:tcW w:type="dxa" w:w="3600"/>
            <w:vAlign w:val="top"/>
          </w:tcPr>
          <w:p>
            <w:r/>
            <w:r>
              <w:rPr>
                <w:b w:val="0"/>
                <w:sz w:val="14"/>
              </w:rPr>
              <w:t>Block/neutralize versus agonize/replace interpretation based on risk direction.</w:t>
            </w:r>
          </w:p>
        </w:tc>
        <w:tc>
          <w:tcPr>
            <w:tcW w:type="dxa" w:w="4032"/>
            <w:vAlign w:val="top"/>
          </w:tcPr>
          <w:p>
            <w:r/>
            <w:r>
              <w:rPr>
                <w:b w:val="0"/>
                <w:sz w:val="14"/>
              </w:rPr>
              <w:t>Turns molecular discovery into actionable intervention logic.</w:t>
            </w:r>
          </w:p>
        </w:tc>
      </w:tr>
      <w:tr>
        <w:tc>
          <w:tcPr>
            <w:tcW w:type="dxa" w:w="2232"/>
            <w:vAlign w:val="top"/>
          </w:tcPr>
          <w:p>
            <w:r/>
            <w:r>
              <w:rPr>
                <w:b w:val="0"/>
                <w:sz w:val="14"/>
              </w:rPr>
              <w:t>Patient subgroup map</w:t>
            </w:r>
          </w:p>
        </w:tc>
        <w:tc>
          <w:tcPr>
            <w:tcW w:type="dxa" w:w="3600"/>
            <w:vAlign w:val="top"/>
          </w:tcPr>
          <w:p>
            <w:r/>
            <w:r>
              <w:rPr>
                <w:b w:val="0"/>
                <w:sz w:val="14"/>
              </w:rPr>
              <w:t>High-PIRS versus low-PIRS immune signatures and enriched protein modules.</w:t>
            </w:r>
          </w:p>
        </w:tc>
        <w:tc>
          <w:tcPr>
            <w:tcW w:type="dxa" w:w="4032"/>
            <w:vAlign w:val="top"/>
          </w:tcPr>
          <w:p>
            <w:r/>
            <w:r>
              <w:rPr>
                <w:b w:val="0"/>
                <w:sz w:val="14"/>
              </w:rPr>
              <w:t>Defines mechanistic patient strata for trial enrichment or precision medicine.</w:t>
            </w:r>
          </w:p>
        </w:tc>
      </w:tr>
      <w:tr>
        <w:tc>
          <w:tcPr>
            <w:tcW w:type="dxa" w:w="2232"/>
            <w:vAlign w:val="top"/>
          </w:tcPr>
          <w:p>
            <w:r/>
            <w:r>
              <w:rPr>
                <w:b w:val="0"/>
                <w:sz w:val="14"/>
              </w:rPr>
              <w:t>Cross-disease comparison</w:t>
            </w:r>
          </w:p>
        </w:tc>
        <w:tc>
          <w:tcPr>
            <w:tcW w:type="dxa" w:w="3600"/>
            <w:vAlign w:val="top"/>
          </w:tcPr>
          <w:p>
            <w:r/>
            <w:r>
              <w:rPr>
                <w:b w:val="0"/>
                <w:sz w:val="14"/>
              </w:rPr>
              <w:t>Shared and disease-specific immune proteins across multiple trained disease models.</w:t>
            </w:r>
          </w:p>
        </w:tc>
        <w:tc>
          <w:tcPr>
            <w:tcW w:type="dxa" w:w="4032"/>
            <w:vAlign w:val="top"/>
          </w:tcPr>
          <w:p>
            <w:r/>
            <w:r>
              <w:rPr>
                <w:b w:val="0"/>
                <w:sz w:val="14"/>
              </w:rPr>
              <w:t>Reveals pleiotropic immune control points and disease-specific vulnerabilities.</w:t>
            </w:r>
          </w:p>
        </w:tc>
      </w:tr>
      <w:tr>
        <w:tc>
          <w:tcPr>
            <w:tcW w:type="dxa" w:w="2232"/>
            <w:vAlign w:val="top"/>
          </w:tcPr>
          <w:p>
            <w:r/>
            <w:r>
              <w:rPr>
                <w:b w:val="0"/>
                <w:sz w:val="14"/>
              </w:rPr>
              <w:t>Experimental validation plan</w:t>
            </w:r>
          </w:p>
        </w:tc>
        <w:tc>
          <w:tcPr>
            <w:tcW w:type="dxa" w:w="3600"/>
            <w:vAlign w:val="top"/>
          </w:tcPr>
          <w:p>
            <w:r/>
            <w:r>
              <w:rPr>
                <w:b w:val="0"/>
                <w:sz w:val="14"/>
              </w:rPr>
              <w:t>Prioritized in vitro, organoid, animal, or perturbation assays.</w:t>
            </w:r>
          </w:p>
        </w:tc>
        <w:tc>
          <w:tcPr>
            <w:tcW w:type="dxa" w:w="4032"/>
            <w:vAlign w:val="top"/>
          </w:tcPr>
          <w:p>
            <w:r/>
            <w:r>
              <w:rPr>
                <w:b w:val="0"/>
                <w:sz w:val="14"/>
              </w:rPr>
              <w:t>Connects computational novelty to functional proof.</w:t>
            </w:r>
          </w:p>
        </w:tc>
      </w:tr>
    </w:tbl>
    <w:p/>
    <w:p>
      <w:pPr>
        <w:pStyle w:val="Heading1"/>
      </w:pPr>
      <w:r>
        <w:t>7. Figure-ready high-impact manuscript structure</w:t>
      </w:r>
    </w:p>
    <w:p>
      <w:r>
        <w:t>The upgraded document can be converted into a platform paper or grant by organizing the outputs into the following figure logic.</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1F4E79"/>
            <w:vAlign w:val="center"/>
          </w:tcPr>
          <w:p>
            <w:r/>
            <w:r>
              <w:rPr>
                <w:b/>
                <w:color w:val="FFFFFF"/>
                <w:sz w:val="15"/>
              </w:rPr>
              <w:t>Figure</w:t>
            </w:r>
          </w:p>
        </w:tc>
        <w:tc>
          <w:tcPr>
            <w:tcW w:type="dxa" w:w="3456"/>
            <w:shd w:fill="1F4E79"/>
            <w:vAlign w:val="center"/>
          </w:tcPr>
          <w:p>
            <w:r/>
            <w:r>
              <w:rPr>
                <w:b/>
                <w:color w:val="FFFFFF"/>
                <w:sz w:val="15"/>
              </w:rPr>
              <w:t>Core message</w:t>
            </w:r>
          </w:p>
        </w:tc>
        <w:tc>
          <w:tcPr>
            <w:tcW w:type="dxa" w:w="5184"/>
            <w:shd w:fill="1F4E79"/>
            <w:vAlign w:val="center"/>
          </w:tcPr>
          <w:p>
            <w:r/>
            <w:r>
              <w:rPr>
                <w:b/>
                <w:color w:val="FFFFFF"/>
                <w:sz w:val="15"/>
              </w:rPr>
              <w:t>Panels to include</w:t>
            </w:r>
          </w:p>
        </w:tc>
      </w:tr>
      <w:tr>
        <w:tc>
          <w:tcPr>
            <w:tcW w:type="dxa" w:w="1152"/>
            <w:vAlign w:val="top"/>
          </w:tcPr>
          <w:p>
            <w:r/>
            <w:r>
              <w:rPr>
                <w:b w:val="0"/>
                <w:sz w:val="15"/>
              </w:rPr>
              <w:t>Figure 1</w:t>
            </w:r>
          </w:p>
        </w:tc>
        <w:tc>
          <w:tcPr>
            <w:tcW w:type="dxa" w:w="3456"/>
            <w:vAlign w:val="top"/>
          </w:tcPr>
          <w:p>
            <w:r/>
            <w:r>
              <w:rPr>
                <w:b w:val="0"/>
                <w:sz w:val="15"/>
              </w:rPr>
              <w:t>The platform is a genetics-anchored plasma immunome operating system.</w:t>
            </w:r>
          </w:p>
        </w:tc>
        <w:tc>
          <w:tcPr>
            <w:tcW w:type="dxa" w:w="5184"/>
            <w:vAlign w:val="top"/>
          </w:tcPr>
          <w:p>
            <w:r/>
            <w:r>
              <w:rPr>
                <w:b w:val="0"/>
                <w:sz w:val="15"/>
              </w:rPr>
              <w:t>Olink proteome curation; 1,007-protein immunome; data layers; disease phenome; evidence tiers.</w:t>
            </w:r>
          </w:p>
        </w:tc>
      </w:tr>
      <w:tr>
        <w:tc>
          <w:tcPr>
            <w:tcW w:type="dxa" w:w="1152"/>
            <w:vAlign w:val="top"/>
          </w:tcPr>
          <w:p>
            <w:r/>
            <w:r>
              <w:rPr>
                <w:b w:val="0"/>
                <w:sz w:val="15"/>
              </w:rPr>
              <w:t>Figure 2</w:t>
            </w:r>
          </w:p>
        </w:tc>
        <w:tc>
          <w:tcPr>
            <w:tcW w:type="dxa" w:w="3456"/>
            <w:vAlign w:val="top"/>
          </w:tcPr>
          <w:p>
            <w:r/>
            <w:r>
              <w:rPr>
                <w:b w:val="0"/>
                <w:sz w:val="15"/>
              </w:rPr>
              <w:t>The atlas identifies causal immune proteins across disease systems.</w:t>
            </w:r>
          </w:p>
        </w:tc>
        <w:tc>
          <w:tcPr>
            <w:tcW w:type="dxa" w:w="5184"/>
            <w:vAlign w:val="top"/>
          </w:tcPr>
          <w:p>
            <w:r/>
            <w:r>
              <w:rPr>
                <w:b w:val="0"/>
                <w:sz w:val="15"/>
              </w:rPr>
              <w:t>cis-MR Manhattan/volcano; colocalization examples; positive controls; evidence ladder.</w:t>
            </w:r>
          </w:p>
        </w:tc>
      </w:tr>
      <w:tr>
        <w:tc>
          <w:tcPr>
            <w:tcW w:type="dxa" w:w="1152"/>
            <w:vAlign w:val="top"/>
          </w:tcPr>
          <w:p>
            <w:r/>
            <w:r>
              <w:rPr>
                <w:b w:val="0"/>
                <w:sz w:val="15"/>
              </w:rPr>
              <w:t>Figure 3</w:t>
            </w:r>
          </w:p>
        </w:tc>
        <w:tc>
          <w:tcPr>
            <w:tcW w:type="dxa" w:w="3456"/>
            <w:vAlign w:val="top"/>
          </w:tcPr>
          <w:p>
            <w:r/>
            <w:r>
              <w:rPr>
                <w:b w:val="0"/>
                <w:sz w:val="15"/>
              </w:rPr>
              <w:t>PIRS converts plasma immune proteins into disease-specific risk scores.</w:t>
            </w:r>
          </w:p>
        </w:tc>
        <w:tc>
          <w:tcPr>
            <w:tcW w:type="dxa" w:w="5184"/>
            <w:vAlign w:val="top"/>
          </w:tcPr>
          <w:p>
            <w:r/>
            <w:r>
              <w:rPr>
                <w:b w:val="0"/>
                <w:sz w:val="15"/>
              </w:rPr>
              <w:t>Training schema; cross-validation; discrimination; calibration; coefficient extraction.</w:t>
            </w:r>
          </w:p>
        </w:tc>
      </w:tr>
      <w:tr>
        <w:tc>
          <w:tcPr>
            <w:tcW w:type="dxa" w:w="1152"/>
            <w:vAlign w:val="top"/>
          </w:tcPr>
          <w:p>
            <w:r/>
            <w:r>
              <w:rPr>
                <w:b w:val="0"/>
                <w:sz w:val="15"/>
              </w:rPr>
              <w:t>Figure 4</w:t>
            </w:r>
          </w:p>
        </w:tc>
        <w:tc>
          <w:tcPr>
            <w:tcW w:type="dxa" w:w="3456"/>
            <w:vAlign w:val="top"/>
          </w:tcPr>
          <w:p>
            <w:r/>
            <w:r>
              <w:rPr>
                <w:b w:val="0"/>
                <w:sz w:val="15"/>
              </w:rPr>
              <w:t>Disease training generates novel target nominations.</w:t>
            </w:r>
          </w:p>
        </w:tc>
        <w:tc>
          <w:tcPr>
            <w:tcW w:type="dxa" w:w="5184"/>
            <w:vAlign w:val="top"/>
          </w:tcPr>
          <w:p>
            <w:r/>
            <w:r>
              <w:rPr>
                <w:b w:val="0"/>
                <w:sz w:val="15"/>
              </w:rPr>
              <w:t>Causal-predictive concordance; novelty-priority ranking; target classes; therapeutic direction.</w:t>
            </w:r>
          </w:p>
        </w:tc>
      </w:tr>
      <w:tr>
        <w:tc>
          <w:tcPr>
            <w:tcW w:type="dxa" w:w="1152"/>
            <w:vAlign w:val="top"/>
          </w:tcPr>
          <w:p>
            <w:r/>
            <w:r>
              <w:rPr>
                <w:b w:val="0"/>
                <w:sz w:val="15"/>
              </w:rPr>
              <w:t>Figure 5</w:t>
            </w:r>
          </w:p>
        </w:tc>
        <w:tc>
          <w:tcPr>
            <w:tcW w:type="dxa" w:w="3456"/>
            <w:vAlign w:val="top"/>
          </w:tcPr>
          <w:p>
            <w:r/>
            <w:r>
              <w:rPr>
                <w:b w:val="0"/>
                <w:sz w:val="15"/>
              </w:rPr>
              <w:t>Cell-source and pathway interpretation reveal disease mechanisms.</w:t>
            </w:r>
          </w:p>
        </w:tc>
        <w:tc>
          <w:tcPr>
            <w:tcW w:type="dxa" w:w="5184"/>
            <w:vAlign w:val="top"/>
          </w:tcPr>
          <w:p>
            <w:r/>
            <w:r>
              <w:rPr>
                <w:b w:val="0"/>
                <w:sz w:val="15"/>
              </w:rPr>
              <w:t>Granulocyte/myeloid/T/B/NK enrichment; module heatmap; cross-disease pleiotropy network.</w:t>
            </w:r>
          </w:p>
        </w:tc>
      </w:tr>
      <w:tr>
        <w:tc>
          <w:tcPr>
            <w:tcW w:type="dxa" w:w="1152"/>
            <w:vAlign w:val="top"/>
          </w:tcPr>
          <w:p>
            <w:r/>
            <w:r>
              <w:rPr>
                <w:b w:val="0"/>
                <w:sz w:val="15"/>
              </w:rPr>
              <w:t>Figure 6</w:t>
            </w:r>
          </w:p>
        </w:tc>
        <w:tc>
          <w:tcPr>
            <w:tcW w:type="dxa" w:w="3456"/>
            <w:vAlign w:val="top"/>
          </w:tcPr>
          <w:p>
            <w:r/>
            <w:r>
              <w:rPr>
                <w:b w:val="0"/>
                <w:sz w:val="15"/>
              </w:rPr>
              <w:t>External validation and experimental triage support translation.</w:t>
            </w:r>
          </w:p>
        </w:tc>
        <w:tc>
          <w:tcPr>
            <w:tcW w:type="dxa" w:w="5184"/>
            <w:vAlign w:val="top"/>
          </w:tcPr>
          <w:p>
            <w:r/>
            <w:r>
              <w:rPr>
                <w:b w:val="0"/>
                <w:sz w:val="15"/>
              </w:rPr>
              <w:t>Frozen-model validation; incremental clinical value; top target validation workflow.</w:t>
            </w:r>
          </w:p>
        </w:tc>
      </w:tr>
    </w:tbl>
    <w:p/>
    <w:p>
      <w:pPr>
        <w:pStyle w:val="Heading1"/>
      </w:pPr>
      <w:r>
        <w:t>8. Evidence tiers and claim language</w:t>
      </w:r>
    </w:p>
    <w:p>
      <w:r>
        <w:t>A high-level platform must be ambitious but disciplined. The following language prevents overclaiming while allowing strong results to be highlighted.</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4E79"/>
            <w:vAlign w:val="center"/>
          </w:tcPr>
          <w:p>
            <w:r/>
            <w:r>
              <w:rPr>
                <w:b/>
                <w:color w:val="FFFFFF"/>
                <w:sz w:val="14"/>
              </w:rPr>
              <w:t>Tier</w:t>
            </w:r>
          </w:p>
        </w:tc>
        <w:tc>
          <w:tcPr>
            <w:tcW w:type="dxa" w:w="4464"/>
            <w:shd w:fill="1F4E79"/>
            <w:vAlign w:val="center"/>
          </w:tcPr>
          <w:p>
            <w:r/>
            <w:r>
              <w:rPr>
                <w:b/>
                <w:color w:val="FFFFFF"/>
                <w:sz w:val="14"/>
              </w:rPr>
              <w:t>Evidence required</w:t>
            </w:r>
          </w:p>
        </w:tc>
        <w:tc>
          <w:tcPr>
            <w:tcW w:type="dxa" w:w="3600"/>
            <w:shd w:fill="1F4E79"/>
            <w:vAlign w:val="center"/>
          </w:tcPr>
          <w:p>
            <w:r/>
            <w:r>
              <w:rPr>
                <w:b/>
                <w:color w:val="FFFFFF"/>
                <w:sz w:val="14"/>
              </w:rPr>
              <w:t>Allowed claim language</w:t>
            </w:r>
          </w:p>
        </w:tc>
      </w:tr>
      <w:tr>
        <w:tc>
          <w:tcPr>
            <w:tcW w:type="dxa" w:w="1728"/>
            <w:vAlign w:val="top"/>
          </w:tcPr>
          <w:p>
            <w:r/>
            <w:r>
              <w:rPr>
                <w:b w:val="0"/>
                <w:sz w:val="14"/>
              </w:rPr>
              <w:t>T1: association/prediction</w:t>
            </w:r>
          </w:p>
        </w:tc>
        <w:tc>
          <w:tcPr>
            <w:tcW w:type="dxa" w:w="4464"/>
            <w:vAlign w:val="top"/>
          </w:tcPr>
          <w:p>
            <w:r/>
            <w:r>
              <w:rPr>
                <w:b w:val="0"/>
                <w:sz w:val="14"/>
              </w:rPr>
              <w:t>Protein predicts disease in PIRS but lacks genetic support.</w:t>
            </w:r>
          </w:p>
        </w:tc>
        <w:tc>
          <w:tcPr>
            <w:tcW w:type="dxa" w:w="3600"/>
            <w:vAlign w:val="top"/>
          </w:tcPr>
          <w:p>
            <w:r/>
            <w:r>
              <w:rPr>
                <w:b w:val="0"/>
                <w:sz w:val="14"/>
              </w:rPr>
              <w:t>Disease-predictive biomarker candidate.</w:t>
            </w:r>
          </w:p>
        </w:tc>
      </w:tr>
      <w:tr>
        <w:tc>
          <w:tcPr>
            <w:tcW w:type="dxa" w:w="1728"/>
            <w:vAlign w:val="top"/>
          </w:tcPr>
          <w:p>
            <w:r/>
            <w:r>
              <w:rPr>
                <w:b w:val="0"/>
                <w:sz w:val="14"/>
              </w:rPr>
              <w:t>T2: MR nomination</w:t>
            </w:r>
          </w:p>
        </w:tc>
        <w:tc>
          <w:tcPr>
            <w:tcW w:type="dxa" w:w="4464"/>
            <w:vAlign w:val="top"/>
          </w:tcPr>
          <w:p>
            <w:r/>
            <w:r>
              <w:rPr>
                <w:b w:val="0"/>
                <w:sz w:val="14"/>
              </w:rPr>
              <w:t>cis-MR FDR &lt; 0.05 but no strong colocalization or MHC/LD caution.</w:t>
            </w:r>
          </w:p>
        </w:tc>
        <w:tc>
          <w:tcPr>
            <w:tcW w:type="dxa" w:w="3600"/>
            <w:vAlign w:val="top"/>
          </w:tcPr>
          <w:p>
            <w:r/>
            <w:r>
              <w:rPr>
                <w:b w:val="0"/>
                <w:sz w:val="14"/>
              </w:rPr>
              <w:t>Genetically supported nomination; not confirmed causal.</w:t>
            </w:r>
          </w:p>
        </w:tc>
      </w:tr>
      <w:tr>
        <w:tc>
          <w:tcPr>
            <w:tcW w:type="dxa" w:w="1728"/>
            <w:vAlign w:val="top"/>
          </w:tcPr>
          <w:p>
            <w:r/>
            <w:r>
              <w:rPr>
                <w:b w:val="0"/>
                <w:sz w:val="14"/>
              </w:rPr>
              <w:t>T3: transcript-level causal target</w:t>
            </w:r>
          </w:p>
        </w:tc>
        <w:tc>
          <w:tcPr>
            <w:tcW w:type="dxa" w:w="4464"/>
            <w:vAlign w:val="top"/>
          </w:tcPr>
          <w:p>
            <w:r/>
            <w:r>
              <w:rPr>
                <w:b w:val="0"/>
                <w:sz w:val="14"/>
              </w:rPr>
              <w:t>cis-MR plus transcript colocalization PP.H4 &gt;= 0.8 outside problematic LD.</w:t>
            </w:r>
          </w:p>
        </w:tc>
        <w:tc>
          <w:tcPr>
            <w:tcW w:type="dxa" w:w="3600"/>
            <w:vAlign w:val="top"/>
          </w:tcPr>
          <w:p>
            <w:r/>
            <w:r>
              <w:rPr>
                <w:b w:val="0"/>
                <w:sz w:val="14"/>
              </w:rPr>
              <w:t>Prioritized transcript-level causal target.</w:t>
            </w:r>
          </w:p>
        </w:tc>
      </w:tr>
      <w:tr>
        <w:tc>
          <w:tcPr>
            <w:tcW w:type="dxa" w:w="1728"/>
            <w:vAlign w:val="top"/>
          </w:tcPr>
          <w:p>
            <w:r/>
            <w:r>
              <w:rPr>
                <w:b w:val="0"/>
                <w:sz w:val="14"/>
              </w:rPr>
              <w:t>T4: protein-level causal target</w:t>
            </w:r>
          </w:p>
        </w:tc>
        <w:tc>
          <w:tcPr>
            <w:tcW w:type="dxa" w:w="4464"/>
            <w:vAlign w:val="top"/>
          </w:tcPr>
          <w:p>
            <w:r/>
            <w:r>
              <w:rPr>
                <w:b w:val="0"/>
                <w:sz w:val="14"/>
              </w:rPr>
              <w:t>Transcript evidence plus concordant plasma pQTL-MR and pQTL colocalization.</w:t>
            </w:r>
          </w:p>
        </w:tc>
        <w:tc>
          <w:tcPr>
            <w:tcW w:type="dxa" w:w="3600"/>
            <w:vAlign w:val="top"/>
          </w:tcPr>
          <w:p>
            <w:r/>
            <w:r>
              <w:rPr>
                <w:b w:val="0"/>
                <w:sz w:val="14"/>
              </w:rPr>
              <w:t>Protein-level causal target with therapeutic relevance.</w:t>
            </w:r>
          </w:p>
        </w:tc>
      </w:tr>
      <w:tr>
        <w:tc>
          <w:tcPr>
            <w:tcW w:type="dxa" w:w="1728"/>
            <w:vAlign w:val="top"/>
          </w:tcPr>
          <w:p>
            <w:r/>
            <w:r>
              <w:rPr>
                <w:b w:val="0"/>
                <w:sz w:val="14"/>
              </w:rPr>
              <w:t>T5: replicated target</w:t>
            </w:r>
          </w:p>
        </w:tc>
        <w:tc>
          <w:tcPr>
            <w:tcW w:type="dxa" w:w="4464"/>
            <w:vAlign w:val="top"/>
          </w:tcPr>
          <w:p>
            <w:r/>
            <w:r>
              <w:rPr>
                <w:b w:val="0"/>
                <w:sz w:val="14"/>
              </w:rPr>
              <w:t>T4 or strong T3 signal replicated in independent non-discovery GWAS.</w:t>
            </w:r>
          </w:p>
        </w:tc>
        <w:tc>
          <w:tcPr>
            <w:tcW w:type="dxa" w:w="3600"/>
            <w:vAlign w:val="top"/>
          </w:tcPr>
          <w:p>
            <w:r/>
            <w:r>
              <w:rPr>
                <w:b w:val="0"/>
                <w:sz w:val="14"/>
              </w:rPr>
              <w:t>Robust replicated causal target.</w:t>
            </w:r>
          </w:p>
        </w:tc>
      </w:tr>
      <w:tr>
        <w:tc>
          <w:tcPr>
            <w:tcW w:type="dxa" w:w="1728"/>
            <w:vAlign w:val="top"/>
          </w:tcPr>
          <w:p>
            <w:r/>
            <w:r>
              <w:rPr>
                <w:b w:val="0"/>
                <w:sz w:val="14"/>
              </w:rPr>
              <w:t>T6: functional target</w:t>
            </w:r>
          </w:p>
        </w:tc>
        <w:tc>
          <w:tcPr>
            <w:tcW w:type="dxa" w:w="4464"/>
            <w:vAlign w:val="top"/>
          </w:tcPr>
          <w:p>
            <w:r/>
            <w:r>
              <w:rPr>
                <w:b w:val="0"/>
                <w:sz w:val="14"/>
              </w:rPr>
              <w:t>Genetic and predictive evidence plus experimental perturbation in disease-relevant model.</w:t>
            </w:r>
          </w:p>
        </w:tc>
        <w:tc>
          <w:tcPr>
            <w:tcW w:type="dxa" w:w="3600"/>
            <w:vAlign w:val="top"/>
          </w:tcPr>
          <w:p>
            <w:r/>
            <w:r>
              <w:rPr>
                <w:b w:val="0"/>
                <w:sz w:val="14"/>
              </w:rPr>
              <w:t>Functionally validated disease mechanism or therapeutic target.</w:t>
            </w:r>
          </w:p>
        </w:tc>
      </w:tr>
    </w:tbl>
    <w:p/>
    <w:p>
      <w:pPr>
        <w:pStyle w:val="Heading1"/>
      </w:pPr>
      <w:r>
        <w:t>9. Experimental validation strategy for novel disease-trained targets</w:t>
      </w:r>
    </w:p>
    <w:p>
      <w:r>
        <w:t>Computational novelty should be translated into a clear experimental decision tree. The following framework can be inserted into the methods or discussion to show how disease-trained targets become biological discoveries.</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1F4E79"/>
            <w:vAlign w:val="center"/>
          </w:tcPr>
          <w:p>
            <w:r/>
            <w:r>
              <w:rPr>
                <w:b/>
                <w:color w:val="FFFFFF"/>
                <w:sz w:val="14"/>
              </w:rPr>
              <w:t>Validation level</w:t>
            </w:r>
          </w:p>
        </w:tc>
        <w:tc>
          <w:tcPr>
            <w:tcW w:type="dxa" w:w="3888"/>
            <w:shd w:fill="1F4E79"/>
            <w:vAlign w:val="center"/>
          </w:tcPr>
          <w:p>
            <w:r/>
            <w:r>
              <w:rPr>
                <w:b/>
                <w:color w:val="FFFFFF"/>
                <w:sz w:val="14"/>
              </w:rPr>
              <w:t>Assay</w:t>
            </w:r>
          </w:p>
        </w:tc>
        <w:tc>
          <w:tcPr>
            <w:tcW w:type="dxa" w:w="3888"/>
            <w:shd w:fill="1F4E79"/>
            <w:vAlign w:val="center"/>
          </w:tcPr>
          <w:p>
            <w:r/>
            <w:r>
              <w:rPr>
                <w:b/>
                <w:color w:val="FFFFFF"/>
                <w:sz w:val="14"/>
              </w:rPr>
              <w:t>Decision criterion</w:t>
            </w:r>
          </w:p>
        </w:tc>
      </w:tr>
      <w:tr>
        <w:tc>
          <w:tcPr>
            <w:tcW w:type="dxa" w:w="2088"/>
            <w:vAlign w:val="top"/>
          </w:tcPr>
          <w:p>
            <w:r/>
            <w:r>
              <w:rPr>
                <w:b w:val="0"/>
                <w:sz w:val="14"/>
              </w:rPr>
              <w:t>Analytical validation</w:t>
            </w:r>
          </w:p>
        </w:tc>
        <w:tc>
          <w:tcPr>
            <w:tcW w:type="dxa" w:w="3888"/>
            <w:vAlign w:val="top"/>
          </w:tcPr>
          <w:p>
            <w:r/>
            <w:r>
              <w:rPr>
                <w:b w:val="0"/>
                <w:sz w:val="14"/>
              </w:rPr>
              <w:t>Orthogonal ELISA/Simoa/Olink replicate assay in the same cohort.</w:t>
            </w:r>
          </w:p>
        </w:tc>
        <w:tc>
          <w:tcPr>
            <w:tcW w:type="dxa" w:w="3888"/>
            <w:vAlign w:val="top"/>
          </w:tcPr>
          <w:p>
            <w:r/>
            <w:r>
              <w:rPr>
                <w:b w:val="0"/>
                <w:sz w:val="14"/>
              </w:rPr>
              <w:t>Protein direction and disease association reproduce after batch correction.</w:t>
            </w:r>
          </w:p>
        </w:tc>
      </w:tr>
      <w:tr>
        <w:tc>
          <w:tcPr>
            <w:tcW w:type="dxa" w:w="2088"/>
            <w:vAlign w:val="top"/>
          </w:tcPr>
          <w:p>
            <w:r/>
            <w:r>
              <w:rPr>
                <w:b w:val="0"/>
                <w:sz w:val="14"/>
              </w:rPr>
              <w:t>External cohort validation</w:t>
            </w:r>
          </w:p>
        </w:tc>
        <w:tc>
          <w:tcPr>
            <w:tcW w:type="dxa" w:w="3888"/>
            <w:vAlign w:val="top"/>
          </w:tcPr>
          <w:p>
            <w:r/>
            <w:r>
              <w:rPr>
                <w:b w:val="0"/>
                <w:sz w:val="14"/>
              </w:rPr>
              <w:t>Apply frozen PIRS and target ranking to independent cohort.</w:t>
            </w:r>
          </w:p>
        </w:tc>
        <w:tc>
          <w:tcPr>
            <w:tcW w:type="dxa" w:w="3888"/>
            <w:vAlign w:val="top"/>
          </w:tcPr>
          <w:p>
            <w:r/>
            <w:r>
              <w:rPr>
                <w:b w:val="0"/>
                <w:sz w:val="14"/>
              </w:rPr>
              <w:t>C-index/AUROC, calibration, and top-protein ranking remain stable.</w:t>
            </w:r>
          </w:p>
        </w:tc>
      </w:tr>
      <w:tr>
        <w:tc>
          <w:tcPr>
            <w:tcW w:type="dxa" w:w="2088"/>
            <w:vAlign w:val="top"/>
          </w:tcPr>
          <w:p>
            <w:r/>
            <w:r>
              <w:rPr>
                <w:b w:val="0"/>
                <w:sz w:val="14"/>
              </w:rPr>
              <w:t>Cell-source validation</w:t>
            </w:r>
          </w:p>
        </w:tc>
        <w:tc>
          <w:tcPr>
            <w:tcW w:type="dxa" w:w="3888"/>
            <w:vAlign w:val="top"/>
          </w:tcPr>
          <w:p>
            <w:r/>
            <w:r>
              <w:rPr>
                <w:b w:val="0"/>
                <w:sz w:val="14"/>
              </w:rPr>
              <w:t>Measure protein expression/secretion in relevant immune-cell subsets.</w:t>
            </w:r>
          </w:p>
        </w:tc>
        <w:tc>
          <w:tcPr>
            <w:tcW w:type="dxa" w:w="3888"/>
            <w:vAlign w:val="top"/>
          </w:tcPr>
          <w:p>
            <w:r/>
            <w:r>
              <w:rPr>
                <w:b w:val="0"/>
                <w:sz w:val="14"/>
              </w:rPr>
              <w:t>Predicted cell source matches disease-enriched lineage.</w:t>
            </w:r>
          </w:p>
        </w:tc>
      </w:tr>
      <w:tr>
        <w:tc>
          <w:tcPr>
            <w:tcW w:type="dxa" w:w="2088"/>
            <w:vAlign w:val="top"/>
          </w:tcPr>
          <w:p>
            <w:r/>
            <w:r>
              <w:rPr>
                <w:b w:val="0"/>
                <w:sz w:val="14"/>
              </w:rPr>
              <w:t>Perturbation validation</w:t>
            </w:r>
          </w:p>
        </w:tc>
        <w:tc>
          <w:tcPr>
            <w:tcW w:type="dxa" w:w="3888"/>
            <w:vAlign w:val="top"/>
          </w:tcPr>
          <w:p>
            <w:r/>
            <w:r>
              <w:rPr>
                <w:b w:val="0"/>
                <w:sz w:val="14"/>
              </w:rPr>
              <w:t>Blockade, knockdown, overexpression, agonist, or recombinant protein treatment.</w:t>
            </w:r>
          </w:p>
        </w:tc>
        <w:tc>
          <w:tcPr>
            <w:tcW w:type="dxa" w:w="3888"/>
            <w:vAlign w:val="top"/>
          </w:tcPr>
          <w:p>
            <w:r/>
            <w:r>
              <w:rPr>
                <w:b w:val="0"/>
                <w:sz w:val="14"/>
              </w:rPr>
              <w:t>Perturbing the target shifts disease-relevant cellular phenotype in predicted direction.</w:t>
            </w:r>
          </w:p>
        </w:tc>
      </w:tr>
      <w:tr>
        <w:tc>
          <w:tcPr>
            <w:tcW w:type="dxa" w:w="2088"/>
            <w:vAlign w:val="top"/>
          </w:tcPr>
          <w:p>
            <w:r/>
            <w:r>
              <w:rPr>
                <w:b w:val="0"/>
                <w:sz w:val="14"/>
              </w:rPr>
              <w:t>Disease-model validation</w:t>
            </w:r>
          </w:p>
        </w:tc>
        <w:tc>
          <w:tcPr>
            <w:tcW w:type="dxa" w:w="3888"/>
            <w:vAlign w:val="top"/>
          </w:tcPr>
          <w:p>
            <w:r/>
            <w:r>
              <w:rPr>
                <w:b w:val="0"/>
                <w:sz w:val="14"/>
              </w:rPr>
              <w:t>Organoid, iPSC-derived disease cell, animal model, or ex vivo human tissue.</w:t>
            </w:r>
          </w:p>
        </w:tc>
        <w:tc>
          <w:tcPr>
            <w:tcW w:type="dxa" w:w="3888"/>
            <w:vAlign w:val="top"/>
          </w:tcPr>
          <w:p>
            <w:r/>
            <w:r>
              <w:rPr>
                <w:b w:val="0"/>
                <w:sz w:val="14"/>
              </w:rPr>
              <w:t>Target perturbation improves disease-relevant endpoint without unacceptable off-target effect.</w:t>
            </w:r>
          </w:p>
        </w:tc>
      </w:tr>
      <w:tr>
        <w:tc>
          <w:tcPr>
            <w:tcW w:type="dxa" w:w="2088"/>
            <w:vAlign w:val="top"/>
          </w:tcPr>
          <w:p>
            <w:r/>
            <w:r>
              <w:rPr>
                <w:b w:val="0"/>
                <w:sz w:val="14"/>
              </w:rPr>
              <w:t>Translational validation</w:t>
            </w:r>
          </w:p>
        </w:tc>
        <w:tc>
          <w:tcPr>
            <w:tcW w:type="dxa" w:w="3888"/>
            <w:vAlign w:val="top"/>
          </w:tcPr>
          <w:p>
            <w:r/>
            <w:r>
              <w:rPr>
                <w:b w:val="0"/>
                <w:sz w:val="14"/>
              </w:rPr>
              <w:t>Assess druggability, safety genetics, and existing therapeutic class.</w:t>
            </w:r>
          </w:p>
        </w:tc>
        <w:tc>
          <w:tcPr>
            <w:tcW w:type="dxa" w:w="3888"/>
            <w:vAlign w:val="top"/>
          </w:tcPr>
          <w:p>
            <w:r/>
            <w:r>
              <w:rPr>
                <w:b w:val="0"/>
                <w:sz w:val="14"/>
              </w:rPr>
              <w:t>Target is feasible for antibody, ligand trap, agonist, replacement, or small-molecule strategy.</w:t>
            </w:r>
          </w:p>
        </w:tc>
      </w:tr>
    </w:tbl>
    <w:p/>
    <w:p>
      <w:pPr>
        <w:pStyle w:val="Heading1"/>
      </w:pPr>
      <w:r>
        <w:t>10. Example disease-use cases</w:t>
      </w:r>
    </w:p>
    <w:p>
      <w:r>
        <w:t>The same pipeline can be run for any disease with adequate events and proteomic coverage. The novelty comes from training on the disease and then interpreting the selected proteins through the atlas.</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F4E79"/>
            <w:vAlign w:val="center"/>
          </w:tcPr>
          <w:p>
            <w:r/>
            <w:r>
              <w:rPr>
                <w:b/>
                <w:color w:val="FFFFFF"/>
                <w:sz w:val="14"/>
              </w:rPr>
              <w:t>Disease area</w:t>
            </w:r>
          </w:p>
        </w:tc>
        <w:tc>
          <w:tcPr>
            <w:tcW w:type="dxa" w:w="3600"/>
            <w:shd w:fill="1F4E79"/>
            <w:vAlign w:val="center"/>
          </w:tcPr>
          <w:p>
            <w:r/>
            <w:r>
              <w:rPr>
                <w:b/>
                <w:color w:val="FFFFFF"/>
                <w:sz w:val="14"/>
              </w:rPr>
              <w:t>What to train</w:t>
            </w:r>
          </w:p>
        </w:tc>
        <w:tc>
          <w:tcPr>
            <w:tcW w:type="dxa" w:w="4032"/>
            <w:shd w:fill="1F4E79"/>
            <w:vAlign w:val="center"/>
          </w:tcPr>
          <w:p>
            <w:r/>
            <w:r>
              <w:rPr>
                <w:b/>
                <w:color w:val="FFFFFF"/>
                <w:sz w:val="14"/>
              </w:rPr>
              <w:t>Likely novelty output</w:t>
            </w:r>
          </w:p>
        </w:tc>
      </w:tr>
      <w:tr>
        <w:tc>
          <w:tcPr>
            <w:tcW w:type="dxa" w:w="2232"/>
            <w:vAlign w:val="top"/>
          </w:tcPr>
          <w:p>
            <w:r/>
            <w:r>
              <w:rPr>
                <w:b w:val="0"/>
                <w:sz w:val="14"/>
              </w:rPr>
              <w:t>Cardiovascular disease</w:t>
            </w:r>
          </w:p>
        </w:tc>
        <w:tc>
          <w:tcPr>
            <w:tcW w:type="dxa" w:w="3600"/>
            <w:vAlign w:val="top"/>
          </w:tcPr>
          <w:p>
            <w:r/>
            <w:r>
              <w:rPr>
                <w:b w:val="0"/>
                <w:sz w:val="14"/>
              </w:rPr>
              <w:t>Incident coronary heart disease, heart failure, atrial fibrillation, stroke, venous thromboembolism, or hypertension.</w:t>
            </w:r>
          </w:p>
        </w:tc>
        <w:tc>
          <w:tcPr>
            <w:tcW w:type="dxa" w:w="4032"/>
            <w:vAlign w:val="top"/>
          </w:tcPr>
          <w:p>
            <w:r/>
            <w:r>
              <w:rPr>
                <w:b w:val="0"/>
                <w:sz w:val="14"/>
              </w:rPr>
              <w:t>Immune proteins linking inflammation, vascular remodeling, thrombosis, and cardiometabolic risk.</w:t>
            </w:r>
          </w:p>
        </w:tc>
      </w:tr>
      <w:tr>
        <w:tc>
          <w:tcPr>
            <w:tcW w:type="dxa" w:w="2232"/>
            <w:vAlign w:val="top"/>
          </w:tcPr>
          <w:p>
            <w:r/>
            <w:r>
              <w:rPr>
                <w:b w:val="0"/>
                <w:sz w:val="14"/>
              </w:rPr>
              <w:t>Metabolic disease</w:t>
            </w:r>
          </w:p>
        </w:tc>
        <w:tc>
          <w:tcPr>
            <w:tcW w:type="dxa" w:w="3600"/>
            <w:vAlign w:val="top"/>
          </w:tcPr>
          <w:p>
            <w:r/>
            <w:r>
              <w:rPr>
                <w:b w:val="0"/>
                <w:sz w:val="14"/>
              </w:rPr>
              <w:t>Type 2 diabetes, obesity, insulin resistance, or metabolic syndrome outcomes.</w:t>
            </w:r>
          </w:p>
        </w:tc>
        <w:tc>
          <w:tcPr>
            <w:tcW w:type="dxa" w:w="4032"/>
            <w:vAlign w:val="top"/>
          </w:tcPr>
          <w:p>
            <w:r/>
            <w:r>
              <w:rPr>
                <w:b w:val="0"/>
                <w:sz w:val="14"/>
              </w:rPr>
              <w:t>Secreted immune-metabolic proteins that stratify metabolic inflammation and identify druggable axes.</w:t>
            </w:r>
          </w:p>
        </w:tc>
      </w:tr>
      <w:tr>
        <w:tc>
          <w:tcPr>
            <w:tcW w:type="dxa" w:w="2232"/>
            <w:vAlign w:val="top"/>
          </w:tcPr>
          <w:p>
            <w:r/>
            <w:r>
              <w:rPr>
                <w:b w:val="0"/>
                <w:sz w:val="14"/>
              </w:rPr>
              <w:t>Autoimmune disease</w:t>
            </w:r>
          </w:p>
        </w:tc>
        <w:tc>
          <w:tcPr>
            <w:tcW w:type="dxa" w:w="3600"/>
            <w:vAlign w:val="top"/>
          </w:tcPr>
          <w:p>
            <w:r/>
            <w:r>
              <w:rPr>
                <w:b w:val="0"/>
                <w:sz w:val="14"/>
              </w:rPr>
              <w:t>RA, MS, psoriasis, T1D, Crohn disease, Sjogren syndrome, or related immune phenotypes.</w:t>
            </w:r>
          </w:p>
        </w:tc>
        <w:tc>
          <w:tcPr>
            <w:tcW w:type="dxa" w:w="4032"/>
            <w:vAlign w:val="top"/>
          </w:tcPr>
          <w:p>
            <w:r/>
            <w:r>
              <w:rPr>
                <w:b w:val="0"/>
                <w:sz w:val="14"/>
              </w:rPr>
              <w:t>Recovered known drug axes as positive controls plus novel disease-specific immune checkpoints.</w:t>
            </w:r>
          </w:p>
        </w:tc>
      </w:tr>
      <w:tr>
        <w:tc>
          <w:tcPr>
            <w:tcW w:type="dxa" w:w="2232"/>
            <w:vAlign w:val="top"/>
          </w:tcPr>
          <w:p>
            <w:r/>
            <w:r>
              <w:rPr>
                <w:b w:val="0"/>
                <w:sz w:val="14"/>
              </w:rPr>
              <w:t>Renal disease</w:t>
            </w:r>
          </w:p>
        </w:tc>
        <w:tc>
          <w:tcPr>
            <w:tcW w:type="dxa" w:w="3600"/>
            <w:vAlign w:val="top"/>
          </w:tcPr>
          <w:p>
            <w:r/>
            <w:r>
              <w:rPr>
                <w:b w:val="0"/>
                <w:sz w:val="14"/>
              </w:rPr>
              <w:t>CKD progression, eGFR decline, albuminuria, or kidney failure.</w:t>
            </w:r>
          </w:p>
        </w:tc>
        <w:tc>
          <w:tcPr>
            <w:tcW w:type="dxa" w:w="4032"/>
            <w:vAlign w:val="top"/>
          </w:tcPr>
          <w:p>
            <w:r/>
            <w:r>
              <w:rPr>
                <w:b w:val="0"/>
                <w:sz w:val="14"/>
              </w:rPr>
              <w:t>Inflammatory mediators connecting systemic immune tone to renal injury progression.</w:t>
            </w:r>
          </w:p>
        </w:tc>
      </w:tr>
      <w:tr>
        <w:tc>
          <w:tcPr>
            <w:tcW w:type="dxa" w:w="2232"/>
            <w:vAlign w:val="top"/>
          </w:tcPr>
          <w:p>
            <w:r/>
            <w:r>
              <w:rPr>
                <w:b w:val="0"/>
                <w:sz w:val="14"/>
              </w:rPr>
              <w:t>Neurodegenerative/aging disease</w:t>
            </w:r>
          </w:p>
        </w:tc>
        <w:tc>
          <w:tcPr>
            <w:tcW w:type="dxa" w:w="3600"/>
            <w:vAlign w:val="top"/>
          </w:tcPr>
          <w:p>
            <w:r/>
            <w:r>
              <w:rPr>
                <w:b w:val="0"/>
                <w:sz w:val="14"/>
              </w:rPr>
              <w:t>Dementia, Alzheimer disease, glaucoma, frailty, or aging-related endpoints.</w:t>
            </w:r>
          </w:p>
        </w:tc>
        <w:tc>
          <w:tcPr>
            <w:tcW w:type="dxa" w:w="4032"/>
            <w:vAlign w:val="top"/>
          </w:tcPr>
          <w:p>
            <w:r/>
            <w:r>
              <w:rPr>
                <w:b w:val="0"/>
                <w:sz w:val="14"/>
              </w:rPr>
              <w:t>Plasma immune proteins that connect peripheral inflammation to neurovascular or aging biology.</w:t>
            </w:r>
          </w:p>
        </w:tc>
      </w:tr>
      <w:tr>
        <w:tc>
          <w:tcPr>
            <w:tcW w:type="dxa" w:w="2232"/>
            <w:vAlign w:val="top"/>
          </w:tcPr>
          <w:p>
            <w:r/>
            <w:r>
              <w:rPr>
                <w:b w:val="0"/>
                <w:sz w:val="14"/>
              </w:rPr>
              <w:t>User-defined disease</w:t>
            </w:r>
          </w:p>
        </w:tc>
        <w:tc>
          <w:tcPr>
            <w:tcW w:type="dxa" w:w="3600"/>
            <w:vAlign w:val="top"/>
          </w:tcPr>
          <w:p>
            <w:r/>
            <w:r>
              <w:rPr>
                <w:b w:val="0"/>
                <w:sz w:val="14"/>
              </w:rPr>
              <w:t>Any authorized cohort with proteomics, outcome, time, and covariates.</w:t>
            </w:r>
          </w:p>
        </w:tc>
        <w:tc>
          <w:tcPr>
            <w:tcW w:type="dxa" w:w="4032"/>
            <w:vAlign w:val="top"/>
          </w:tcPr>
          <w:p>
            <w:r/>
            <w:r>
              <w:rPr>
                <w:b w:val="0"/>
                <w:sz w:val="14"/>
              </w:rPr>
              <w:t>A custom disease immune-risk score and ranked novel target list.</w:t>
            </w:r>
          </w:p>
        </w:tc>
      </w:tr>
    </w:tbl>
    <w:p/>
    <w:p>
      <w:pPr>
        <w:pStyle w:val="Heading1"/>
      </w:pPr>
      <w:r>
        <w:t>11. Recommended high-level positioning language</w:t>
      </w:r>
    </w:p>
    <w:p>
      <w:r>
        <w:t>The following text can be used in the manuscript introduction, grant significance section, website, or platform description.</w:t>
      </w:r>
    </w:p>
    <w:p>
      <w:r>
        <w:rPr>
          <w:b/>
          <w:color w:val="1F4E79"/>
        </w:rPr>
        <w:t xml:space="preserve">Platform statement: </w:t>
      </w:r>
      <w:r>
        <w:t>PIRS is not only a prediction model. It is a disease-trainable immune discovery engine that learns which circulating immune proteins stratify risk in a user cohort and then tests whether those proteins are causally credible, druggable, directionally interpretable, and novel.</w:t>
      </w:r>
    </w:p>
    <w:p>
      <w:r>
        <w:rPr>
          <w:b/>
          <w:color w:val="1F4E79"/>
        </w:rPr>
        <w:t xml:space="preserve">Novelty statement: </w:t>
      </w:r>
      <w:r>
        <w:t>The central novelty is the conversion of plasma immune proteomics from a biomarker screen into an evidence-tiered target-discovery system. By requiring convergence between disease-specific prediction and genetics-anchored causal evidence, the framework identifies proteins that are more likely to represent actionable disease biology.</w:t>
      </w:r>
    </w:p>
    <w:p>
      <w:r>
        <w:rPr>
          <w:b/>
          <w:color w:val="1F4E79"/>
        </w:rPr>
        <w:t xml:space="preserve">User-training statement: </w:t>
      </w:r>
      <w:r>
        <w:t>Any authorized user can train PIRS on their own disease cohort. The output is a disease-specific immune risk score, a protein-weight table, a causal-predictive concordance map, and a ranked list of novel targets with therapeutic direction.</w:t>
      </w:r>
    </w:p>
    <w:p>
      <w:r>
        <w:rPr>
          <w:b/>
          <w:color w:val="1F4E79"/>
        </w:rPr>
        <w:t xml:space="preserve">Translational statement: </w:t>
      </w:r>
      <w:r>
        <w:t>Because each target is annotated by cell source, druggability, known-drug status, and block-versus-agonize direction, the platform shortens the path from cohort-level proteomics to mechanistic validation and therapeutic design.</w:t>
      </w:r>
    </w:p>
    <w:p>
      <w:r>
        <w:rPr>
          <w:b/>
          <w:color w:val="1F4E79"/>
        </w:rPr>
        <w:t xml:space="preserve">Claim-discipline statement: </w:t>
      </w:r>
      <w:r>
        <w:t>The platform separates prediction, genetic nomination, colocalized causal inference, protein-level support, replication, and functional proof. No target is described more strongly than the evidence tier it has earned.</w:t>
      </w:r>
    </w:p>
    <w:p>
      <w:pPr>
        <w:pStyle w:val="Heading1"/>
      </w:pPr>
      <w:r>
        <w:t>12. Minimum reporting checklist</w:t>
      </w:r>
    </w:p>
    <w:p>
      <w:pPr>
        <w:pStyle w:val="ListBullet"/>
        <w:spacing w:after="40"/>
      </w:pPr>
      <w:r>
        <w:t>Report disease definition, number of events, number of participants, follow-up duration, ancestry composition, and proteomic platform.</w:t>
      </w:r>
    </w:p>
    <w:p>
      <w:pPr>
        <w:pStyle w:val="ListBullet"/>
        <w:spacing w:after="40"/>
      </w:pPr>
      <w:r>
        <w:t>Report preprocessing, missingness threshold, batch correction, feature intersection with curated immunome, and covariates.</w:t>
      </w:r>
    </w:p>
    <w:p>
      <w:pPr>
        <w:pStyle w:val="ListBullet"/>
        <w:spacing w:after="40"/>
      </w:pPr>
      <w:r>
        <w:t>Report cross-validation design, leakage prevention, discrimination, calibration, and incremental value beyond clinical covariates.</w:t>
      </w:r>
    </w:p>
    <w:p>
      <w:pPr>
        <w:pStyle w:val="ListBullet"/>
        <w:spacing w:after="40"/>
      </w:pPr>
      <w:r>
        <w:t>Report all non-zero protein weights, coefficient signs, selection stability, and whether signs agree with causal atlas direction.</w:t>
      </w:r>
    </w:p>
    <w:p>
      <w:pPr>
        <w:pStyle w:val="ListBullet"/>
        <w:spacing w:after="40"/>
      </w:pPr>
      <w:r>
        <w:t>Report MR FDR, colocalization PP.H4/PP.H3, pQTL support, replication status, evidence tier, cell source, druggability, known-drug status, and MHC/LD flags.</w:t>
      </w:r>
    </w:p>
    <w:p>
      <w:pPr>
        <w:pStyle w:val="ListBullet"/>
        <w:spacing w:after="40"/>
      </w:pPr>
      <w:r>
        <w:t>Report target class: novel causal-predictive target, biomarker candidate, repurposing signal, or caution-only signal.</w:t>
      </w:r>
    </w:p>
    <w:p>
      <w:pPr>
        <w:pStyle w:val="ListBullet"/>
        <w:spacing w:after="40"/>
      </w:pPr>
      <w:r>
        <w:t>Report a concrete experimental validation plan for the top disease-trained novelty nominations.</w:t>
      </w:r>
    </w:p>
    <w:p>
      <w:pPr>
        <w:pStyle w:val="Heading1"/>
      </w:pPr>
      <w:r>
        <w:t>13. Final upgraded conclusion</w:t>
      </w:r>
    </w:p>
    <w:p>
      <w:r>
        <w:t>The upgraded Plasma Immunome-Phenome Atlas and PIRS framework should be presented as a reproducible, extensible, disease-trained discovery platform. Its central advantage is that it links three forms of evidence that are rarely unified: genetics-anchored causal inference, individual-level disease prediction, and translational novelty prioritization. When a user trains the model on a disease cohort, the output is not only a risk score. It is a ranked, evidence-tiered map of immune proteins that may explain disease susceptibility, stratify patients, nominate new therapeutic targets, and guide experimental validation. This is the high-impact message: user-trained disease models can generate novel, testable, mechanistically grounded results rather than simply reproducing known biomarker associations.</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5"/>
      </w:rPr>
      <w:t>Prepared as an improved, high-level methodology version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5"/>
      </w:rPr>
      <w:t>Plasma Immunome-Phenome Atlas &amp; PIRS | High-Level Disease-Trained Discovery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80"/>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PIRS and Plasma Immunome-Phenome Atlas - High-Level Improved Methodology</dc:title>
  <dc:subject>Disease-trained novelty discovery framework</dc:subject>
  <dc:creator>OpenAI</dc:creator>
  <cp:keywords/>
  <dc:description>Improved high-level version prepared from uploaded methodology.</dc:description>
  <cp:lastModifiedBy/>
  <cp:revision>1</cp:revision>
  <dcterms:created xsi:type="dcterms:W3CDTF">2013-12-23T23:15:00Z</dcterms:created>
  <dcterms:modified xsi:type="dcterms:W3CDTF">2013-12-23T23:15:00Z</dcterms:modified>
  <cp:category/>
</cp:coreProperties>
</file>