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E79"/>
          <w:sz w:val="44"/>
        </w:rPr>
        <w:t>Plasma Immunome–Phenome Atlas &amp; the Plasma Immune Risk Score (PIRS)</w:t>
      </w:r>
    </w:p>
    <w:p>
      <w:pPr>
        <w:jc w:val="center"/>
      </w:pPr>
      <w:r>
        <w:rPr>
          <w:i/>
          <w:color w:val="555555"/>
          <w:sz w:val="28"/>
        </w:rPr>
        <w:t>A Detailed Methodology: From Raw Data to a Trained Causal-and-Predictive Model</w:t>
      </w:r>
    </w:p>
    <w:p/>
    <w:p>
      <w:pPr>
        <w:jc w:val="center"/>
      </w:pPr>
      <w:r>
        <w:rPr>
          <w:color w:val="222222"/>
          <w:sz w:val="22"/>
        </w:rPr>
        <w:t>HDDM Layer 54 · An open, genetics-anchored resource</w:t>
      </w:r>
    </w:p>
    <w:p>
      <w:pPr>
        <w:jc w:val="center"/>
      </w:pPr>
      <w:r>
        <w:rPr>
          <w:color w:val="222222"/>
          <w:sz w:val="22"/>
        </w:rPr>
        <w:t>Data acquisition · proteome curation · Mendelian randomization · colocalization</w:t>
      </w:r>
    </w:p>
    <w:p>
      <w:pPr>
        <w:jc w:val="center"/>
      </w:pPr>
      <w:r>
        <w:rPr>
          <w:color w:val="222222"/>
          <w:sz w:val="22"/>
        </w:rPr>
        <w:t>protein-level validation · independent replication · pan-phenome causal mapping</w:t>
      </w:r>
    </w:p>
    <w:p>
      <w:pPr>
        <w:jc w:val="center"/>
      </w:pPr>
      <w:r>
        <w:rPr>
          <w:color w:val="222222"/>
          <w:sz w:val="22"/>
        </w:rPr>
        <w:t>novelty-priority engine · supervised Plasma Immune Risk Score</w:t>
      </w:r>
    </w:p>
    <w:p/>
    <w:p>
      <w:pPr>
        <w:jc w:val="center"/>
      </w:pPr>
      <w:r>
        <w:rPr>
          <w:i/>
          <w:color w:val="555555"/>
          <w:sz w:val="20"/>
        </w:rPr>
        <w:t>A methods paper · built entirely from public data · fully reproducible</w:t>
      </w:r>
    </w:p>
    <w:p/>
    <w:p>
      <w:pPr>
        <w:jc w:val="center"/>
      </w:pPr>
      <w:r>
        <w:rPr>
          <w:color w:val="555555"/>
          <w:sz w:val="19"/>
        </w:rPr>
        <w:t>HDDM Layer 54 · Plasma Immunome–Phenome Atlas Consortium (open resource)</w:t>
      </w:r>
    </w:p>
    <w:p>
      <w:pPr>
        <w:pStyle w:val="Heading1"/>
      </w:pPr>
      <w:r>
        <w:rPr>
          <w:color w:val="1F4E79"/>
        </w:rPr>
        <w:t>Abstract</w:t>
      </w:r>
    </w:p>
    <w:p>
      <w:r>
        <w:rPr>
          <w:b w:val="0"/>
          <w:i w:val="0"/>
          <w:sz w:val="21"/>
        </w:rPr>
        <w:t>Circulating immune proteins mediate host defence and are the targets of many approved therapies, yet a systematic, openly reproducible framework linking the plasma immune proteome to disease through causal genetics — and a matching predictive model — has been lacking. We present a complete methodology for (i) the Plasma Immunome–Phenome Atlas, a genetics-anchored causal map of circulating immune proteins across 28 diseases in five categories, and (ii) the Plasma Immune Risk Score (PIRS), a supervised model that converts an individual’s plasma immune proteome into calibrated, disease-specific risk. Starting from the 2,923-analyte Olink Explore universe, we curate 1,007 plasma-detectable immune proteins using orthogonal Human Protein Atlas and MSigDB annotation, instrument 812 immune genes with blood cis-eQTLs (eQTLGen), and estimate causal effects on FinnGen R12 disease liability by Mendelian randomization. Signals are triangulated by statistical colocalization (coloc.abf), validated at the protein level with INTERVAL plasma cis-pQTLs, and replicated in independent, non-FinnGen consortium GWAS. The pipeline blindly recovers approved-drug axes with the correct pharmacological direction (IL6ST/tocilizumab, CTLA4/abatacept, TNFRSF1A/anti-TNF), providing an internal positive control, and nominates colocalized targets across autoimmune, cardiovascular, metabolic, renal and neurodegenerative disease. An integrated novelty-priority engine ranks targets by cumulative orthogonal evidence while penalising known-drug and MHC axes, yielding 45 novel colocalized nominations with explicit therapeutic direction. Every finding is bound to an evidence tier and no claim exceeds its tier. The PIRS layer is data-source-agnostic and ships no individual-level data: it restricts features to the curated immunome, fits a cross-validated elastic-net survival model, and returns per-protein weights and calibrated discrimination in any authorised cohort. All inputs are public and all code is released; the resource is a reproducible platform for immune target discovery and risk prediction.</w:t>
      </w:r>
    </w:p>
    <w:p>
      <w:r>
        <w:rPr>
          <w:b/>
          <w:sz w:val="19"/>
        </w:rPr>
        <w:t xml:space="preserve">Keywords:  </w:t>
      </w:r>
      <w:r>
        <w:rPr>
          <w:sz w:val="19"/>
        </w:rPr>
        <w:t>plasma proteome; immune proteins; Mendelian randomization; colocalization; pQTL; drug target discovery; risk prediction; elastic-net survival; FinnGen; open reproducible resource</w:t>
      </w:r>
    </w:p>
    <w:p>
      <w:r>
        <w:br w:type="page"/>
      </w:r>
    </w:p>
    <w:p>
      <w:pPr>
        <w:pStyle w:val="Heading1"/>
      </w:pPr>
      <w:r>
        <w:rPr>
          <w:color w:val="1F4E79"/>
        </w:rPr>
        <w:t>1.  Purpose and scope</w:t>
      </w:r>
    </w:p>
    <w:p>
      <w:r>
        <w:rPr>
          <w:b w:val="0"/>
          <w:i w:val="0"/>
          <w:sz w:val="21"/>
        </w:rPr>
        <w:t>This monograph is the complete, self-contained methodology behind two linked deliverables: (i) the Plasma Immunome–Phenome Atlas, a genetics-anchored causal map that connects circulating immune proteins to human disease, and (ii) the Plasma Immune Risk Score (PIRS), a supervised model that turns an individual’s plasma immune-protein profile into a calibrated, disease-specific risk estimate. It is written so that a researcher with no prior exposure to the project can reproduce every step, understand every modelling choice, and know precisely what each result does and does not support. The atlas answers the question “which immune proteins causally influence which diseases, and in which direction?”; the PIRS answers the complementary question “given a person’s measured immune proteome today, what is their future risk of a given disease?” The two are deliberately coupled: the causal atlas tells you which proteins are mechanistically credible, and the PIRS lets you use them predictively in any cohort you are authorised to analyse.</w:t>
      </w:r>
    </w:p>
    <w:p>
      <w:r>
        <w:rPr>
          <w:b w:val="0"/>
          <w:i w:val="0"/>
          <w:sz w:val="21"/>
        </w:rPr>
        <w:t>A guiding principle runs through the entire pipeline and through this document: claim strength is matched to evidence strength. Association is not causation; a transcript (eQTL) is not a protein (pQTL); a Mendelian-randomization estimate at the major histocompatibility complex (MHC) is not a clean instrument; and a cross-validated risk score is not proof of mechanism. Every finding is therefore reported at an explicit evidence tier, and the language used for it is bound to that tier. This document explains not only how each number was produced but why each number is allowed to carry only a certain weight.</w:t>
      </w:r>
    </w:p>
    <w:p>
      <w:r>
        <w:rPr>
          <w:b w:val="0"/>
          <w:i w:val="0"/>
          <w:sz w:val="21"/>
        </w:rPr>
        <w:t>The document is organised as a narrative arc. Section 2 defines the model’s scope, its layers and which parts are plasma-derived. Part A describes the data. Part B describes how the immune proteome was defined. Part C–F describe the causal-inference engine (instruments, Mendelian randomization, colocalization, protein-level validation, replication). Part G describes the pan-phenome expansion and the novelty-priority engine. Part H is the PIRS model in full: data → features → algorithm → training → scoring. Part I explains why one would train with the model, what questions it answers, and how a research programme benefits. Part J covers limitations, reproducibility, a glossary and references.</w:t>
      </w:r>
    </w:p>
    <w:p>
      <w:r>
        <w:br w:type="page"/>
      </w:r>
    </w:p>
    <w:p>
      <w:pPr>
        <w:pStyle w:val="Heading1"/>
      </w:pPr>
      <w:r>
        <w:rPr>
          <w:color w:val="1F4E79"/>
        </w:rPr>
        <w:t>2.  What this model focuses on (scope, layers and data provenance)</w:t>
      </w:r>
    </w:p>
    <w:p>
      <w:r>
        <w:rPr>
          <w:b w:val="0"/>
          <w:i w:val="0"/>
          <w:sz w:val="21"/>
        </w:rPr>
        <w:t>Because the resource joins several kinds of data, it is important to state plainly what it is about, what it is not about, and — since the word “plasma” appears throughout — exactly which parts are plasma-derived and which are not. This section is written for readers who want to understand the resource before the technical detail.</w:t>
      </w:r>
    </w:p>
    <w:p>
      <w:pPr>
        <w:pStyle w:val="Heading2"/>
      </w:pPr>
      <w:r>
        <w:rPr>
          <w:color w:val="2E629E"/>
        </w:rPr>
        <w:t>2.1  The core object: circulating plasma immune proteins</w:t>
      </w:r>
    </w:p>
    <w:p>
      <w:r>
        <w:rPr>
          <w:b w:val="0"/>
          <w:i w:val="0"/>
          <w:sz w:val="21"/>
        </w:rPr>
        <w:t>The subject of the model is molecular, and specifically it is the plasma (blood-circulating) immune proteome — the set of immune-related proteins that are measurable in blood. Concretely this is the 1,007-protein plasma immunome curated from the Olink Explore panel. This is what the model measures, what the Plasma Immune Risk Score (PIRS) is trained on, and what is ultimately nominated as a therapeutic target. The model is NOT about the whole proteome, and it is NOT about other molecular layers such as metabolites, lipids or intracellular/tissue proteins; it is deliberately restricted to the circulating, secreted immune protein subset.</w:t>
      </w:r>
    </w:p>
    <w:p>
      <w:pPr>
        <w:pStyle w:val="Heading2"/>
      </w:pPr>
      <w:r>
        <w:rPr>
          <w:color w:val="2E629E"/>
        </w:rPr>
        <w:t>2.2  The layers the model connects</w:t>
      </w:r>
    </w:p>
    <w:p>
      <w:r>
        <w:rPr>
          <w:b w:val="0"/>
          <w:i w:val="0"/>
          <w:sz w:val="21"/>
        </w:rPr>
        <w:t>Around that molecular core, the resource deliberately links five further layers, so that a plasma protein is never viewed in isolation but always in relation to its cause, its cellular origin, and its disease consequence. The model’s focus is best understood as a bridge from molecule to disease: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7"/>
              </w:rPr>
              <w:t>Focus / layer</w:t>
            </w:r>
          </w:p>
        </w:tc>
        <w:tc>
          <w:tcPr>
            <w:tcW w:type="dxa" w:w="2880"/>
          </w:tcPr>
          <w:p>
            <w:r>
              <w:rPr>
                <w:b/>
                <w:sz w:val="17"/>
              </w:rPr>
              <w:t>Level</w:t>
            </w:r>
          </w:p>
        </w:tc>
        <w:tc>
          <w:tcPr>
            <w:tcW w:type="dxa" w:w="2880"/>
          </w:tcPr>
          <w:p>
            <w:r>
              <w:rPr>
                <w:b/>
                <w:sz w:val="17"/>
              </w:rPr>
              <w:t>What it contributes to the model</w:t>
            </w:r>
          </w:p>
        </w:tc>
      </w:tr>
      <w:tr>
        <w:tc>
          <w:tcPr>
            <w:tcW w:type="dxa" w:w="2880"/>
          </w:tcPr>
          <w:p>
            <w:r>
              <w:rPr>
                <w:sz w:val="17"/>
              </w:rPr>
              <w:t>Plasma immune protein</w:t>
            </w:r>
          </w:p>
        </w:tc>
        <w:tc>
          <w:tcPr>
            <w:tcW w:type="dxa" w:w="2880"/>
          </w:tcPr>
          <w:p>
            <w:r>
              <w:rPr>
                <w:sz w:val="17"/>
              </w:rPr>
              <w:t>molecular — protein</w:t>
            </w:r>
          </w:p>
        </w:tc>
        <w:tc>
          <w:tcPr>
            <w:tcW w:type="dxa" w:w="2880"/>
          </w:tcPr>
          <w:p>
            <w:r>
              <w:rPr>
                <w:sz w:val="17"/>
              </w:rPr>
              <w:t>the CORE: measured features, PIRS inputs, nominated targets</w:t>
            </w:r>
          </w:p>
        </w:tc>
      </w:tr>
      <w:tr>
        <w:tc>
          <w:tcPr>
            <w:tcW w:type="dxa" w:w="2880"/>
          </w:tcPr>
          <w:p>
            <w:r>
              <w:rPr>
                <w:sz w:val="17"/>
              </w:rPr>
              <w:t>Blood gene expression</w:t>
            </w:r>
          </w:p>
        </w:tc>
        <w:tc>
          <w:tcPr>
            <w:tcW w:type="dxa" w:w="2880"/>
          </w:tcPr>
          <w:p>
            <w:r>
              <w:rPr>
                <w:sz w:val="17"/>
              </w:rPr>
              <w:t>molecular — transcript (eQTL)</w:t>
            </w:r>
          </w:p>
        </w:tc>
        <w:tc>
          <w:tcPr>
            <w:tcW w:type="dxa" w:w="2880"/>
          </w:tcPr>
          <w:p>
            <w:r>
              <w:rPr>
                <w:sz w:val="17"/>
              </w:rPr>
              <w:t>the causal instrument (why a protein moves disease risk)</w:t>
            </w:r>
          </w:p>
        </w:tc>
      </w:tr>
      <w:tr>
        <w:tc>
          <w:tcPr>
            <w:tcW w:type="dxa" w:w="2880"/>
          </w:tcPr>
          <w:p>
            <w:r>
              <w:rPr>
                <w:sz w:val="17"/>
              </w:rPr>
              <w:t>Germline genetics</w:t>
            </w:r>
          </w:p>
        </w:tc>
        <w:tc>
          <w:tcPr>
            <w:tcW w:type="dxa" w:w="2880"/>
          </w:tcPr>
          <w:p>
            <w:r>
              <w:rPr>
                <w:sz w:val="17"/>
              </w:rPr>
              <w:t>molecular — DNA variants (GWAS)</w:t>
            </w:r>
          </w:p>
        </w:tc>
        <w:tc>
          <w:tcPr>
            <w:tcW w:type="dxa" w:w="2880"/>
          </w:tcPr>
          <w:p>
            <w:r>
              <w:rPr>
                <w:sz w:val="17"/>
              </w:rPr>
              <w:t>the anchor that makes findings causal, not merely correlational</w:t>
            </w:r>
          </w:p>
        </w:tc>
      </w:tr>
      <w:tr>
        <w:tc>
          <w:tcPr>
            <w:tcW w:type="dxa" w:w="2880"/>
          </w:tcPr>
          <w:p>
            <w:r>
              <w:rPr>
                <w:sz w:val="17"/>
              </w:rPr>
              <w:t>Cell of origin</w:t>
            </w:r>
          </w:p>
        </w:tc>
        <w:tc>
          <w:tcPr>
            <w:tcW w:type="dxa" w:w="2880"/>
          </w:tcPr>
          <w:p>
            <w:r>
              <w:rPr>
                <w:sz w:val="17"/>
              </w:rPr>
              <w:t>cellular</w:t>
            </w:r>
          </w:p>
        </w:tc>
        <w:tc>
          <w:tcPr>
            <w:tcW w:type="dxa" w:w="2880"/>
          </w:tcPr>
          <w:p>
            <w:r>
              <w:rPr>
                <w:sz w:val="17"/>
              </w:rPr>
              <w:t>maps each protein to its blood-cell lineage (granulocyte/T/B/NK/myeloid)</w:t>
            </w:r>
          </w:p>
        </w:tc>
      </w:tr>
      <w:tr>
        <w:tc>
          <w:tcPr>
            <w:tcW w:type="dxa" w:w="2880"/>
          </w:tcPr>
          <w:p>
            <w:r>
              <w:rPr>
                <w:sz w:val="17"/>
              </w:rPr>
              <w:t>Disease phenome</w:t>
            </w:r>
          </w:p>
        </w:tc>
        <w:tc>
          <w:tcPr>
            <w:tcW w:type="dxa" w:w="2880"/>
          </w:tcPr>
          <w:p>
            <w:r>
              <w:rPr>
                <w:sz w:val="17"/>
              </w:rPr>
              <w:t>phenotypic — 28 diseases</w:t>
            </w:r>
          </w:p>
        </w:tc>
        <w:tc>
          <w:tcPr>
            <w:tcW w:type="dxa" w:w="2880"/>
          </w:tcPr>
          <w:p>
            <w:r>
              <w:rPr>
                <w:sz w:val="17"/>
              </w:rPr>
              <w:t>the outcome: what the proteins causally act upon</w:t>
            </w:r>
          </w:p>
        </w:tc>
      </w:tr>
      <w:tr>
        <w:tc>
          <w:tcPr>
            <w:tcW w:type="dxa" w:w="2880"/>
          </w:tcPr>
          <w:p>
            <w:r>
              <w:rPr>
                <w:sz w:val="17"/>
              </w:rPr>
              <w:t>Direction &amp; druggability</w:t>
            </w:r>
          </w:p>
        </w:tc>
        <w:tc>
          <w:tcPr>
            <w:tcW w:type="dxa" w:w="2880"/>
          </w:tcPr>
          <w:p>
            <w:r>
              <w:rPr>
                <w:sz w:val="17"/>
              </w:rPr>
              <w:t>translational</w:t>
            </w:r>
          </w:p>
        </w:tc>
        <w:tc>
          <w:tcPr>
            <w:tcW w:type="dxa" w:w="2880"/>
          </w:tcPr>
          <w:p>
            <w:r>
              <w:rPr>
                <w:sz w:val="17"/>
              </w:rPr>
              <w:t>turns a target into block-vs-agonise, modality and novelty rank</w:t>
            </w:r>
          </w:p>
        </w:tc>
      </w:tr>
    </w:tbl>
    <w:p>
      <w:r>
        <w:rPr>
          <w:b w:val="0"/>
          <w:i w:val="0"/>
          <w:sz w:val="21"/>
        </w:rPr>
        <w:t>In one sentence: the model focuses on plasma immune proteins (molecular), causally linked through genetics (transcript and DNA) to disease (phenotypic), mapped to their cell of origin (cellular), and scored for therapeutic direction and novelty (translational). It is a molecular-to-disease bridge, not a single-source molecular catalogue.</w:t>
      </w:r>
    </w:p>
    <w:p>
      <w:pPr>
        <w:pStyle w:val="Heading2"/>
      </w:pPr>
      <w:r>
        <w:rPr>
          <w:color w:val="2E629E"/>
        </w:rPr>
        <w:t>2.3  Which parts are plasma, and which are not</w:t>
      </w:r>
    </w:p>
    <w:p>
      <w:r>
        <w:rPr>
          <w:b w:val="0"/>
          <w:i w:val="0"/>
          <w:sz w:val="21"/>
        </w:rPr>
        <w:t>The protein and prediction layers are genuinely plasma-derived; the causal-anchor layers are not, and this is by design — causal inference needs a genetic anchor, which cannot come from a plasma protein measurement alone. Stating this honestly prevents the resource from being mistaken for a pure-plasma dataset.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Layer</w:t>
            </w:r>
          </w:p>
        </w:tc>
        <w:tc>
          <w:tcPr>
            <w:tcW w:type="dxa" w:w="2160"/>
          </w:tcPr>
          <w:p>
            <w:r>
              <w:rPr>
                <w:b/>
                <w:sz w:val="17"/>
              </w:rPr>
              <w:t>Source</w:t>
            </w:r>
          </w:p>
        </w:tc>
        <w:tc>
          <w:tcPr>
            <w:tcW w:type="dxa" w:w="2160"/>
          </w:tcPr>
          <w:p>
            <w:r>
              <w:rPr>
                <w:b/>
                <w:sz w:val="17"/>
              </w:rPr>
              <w:t>Plasma-derived?</w:t>
            </w:r>
          </w:p>
        </w:tc>
        <w:tc>
          <w:tcPr>
            <w:tcW w:type="dxa" w:w="2160"/>
          </w:tcPr>
          <w:p>
            <w:r>
              <w:rPr>
                <w:b/>
                <w:sz w:val="17"/>
              </w:rPr>
              <w:t>Molecular type</w:t>
            </w:r>
          </w:p>
        </w:tc>
      </w:tr>
      <w:tr>
        <w:tc>
          <w:tcPr>
            <w:tcW w:type="dxa" w:w="2160"/>
          </w:tcPr>
          <w:p>
            <w:r>
              <w:rPr>
                <w:sz w:val="17"/>
              </w:rPr>
              <w:t>Protein universe / PIRS features</w:t>
            </w:r>
          </w:p>
        </w:tc>
        <w:tc>
          <w:tcPr>
            <w:tcW w:type="dxa" w:w="2160"/>
          </w:tcPr>
          <w:p>
            <w:r>
              <w:rPr>
                <w:sz w:val="17"/>
              </w:rPr>
              <w:t>Olink Explore</w:t>
            </w:r>
          </w:p>
        </w:tc>
        <w:tc>
          <w:tcPr>
            <w:tcW w:type="dxa" w:w="2160"/>
          </w:tcPr>
          <w:p>
            <w:r>
              <w:rPr>
                <w:sz w:val="17"/>
              </w:rPr>
              <w:t>Yes (plasma)</w:t>
            </w:r>
          </w:p>
        </w:tc>
        <w:tc>
          <w:tcPr>
            <w:tcW w:type="dxa" w:w="2160"/>
          </w:tcPr>
          <w:p>
            <w:r>
              <w:rPr>
                <w:sz w:val="17"/>
              </w:rPr>
              <w:t>protein</w:t>
            </w:r>
          </w:p>
        </w:tc>
      </w:tr>
      <w:tr>
        <w:tc>
          <w:tcPr>
            <w:tcW w:type="dxa" w:w="2160"/>
          </w:tcPr>
          <w:p>
            <w:r>
              <w:rPr>
                <w:sz w:val="17"/>
              </w:rPr>
              <w:t>Protein-level validation</w:t>
            </w:r>
          </w:p>
        </w:tc>
        <w:tc>
          <w:tcPr>
            <w:tcW w:type="dxa" w:w="2160"/>
          </w:tcPr>
          <w:p>
            <w:r>
              <w:rPr>
                <w:sz w:val="17"/>
              </w:rPr>
              <w:t>INTERVAL cis-pQTL</w:t>
            </w:r>
          </w:p>
        </w:tc>
        <w:tc>
          <w:tcPr>
            <w:tcW w:type="dxa" w:w="2160"/>
          </w:tcPr>
          <w:p>
            <w:r>
              <w:rPr>
                <w:sz w:val="17"/>
              </w:rPr>
              <w:t>Yes (plasma)</w:t>
            </w:r>
          </w:p>
        </w:tc>
        <w:tc>
          <w:tcPr>
            <w:tcW w:type="dxa" w:w="2160"/>
          </w:tcPr>
          <w:p>
            <w:r>
              <w:rPr>
                <w:sz w:val="17"/>
              </w:rPr>
              <w:t>protein</w:t>
            </w:r>
          </w:p>
        </w:tc>
      </w:tr>
      <w:tr>
        <w:tc>
          <w:tcPr>
            <w:tcW w:type="dxa" w:w="2160"/>
          </w:tcPr>
          <w:p>
            <w:r>
              <w:rPr>
                <w:sz w:val="17"/>
              </w:rPr>
              <w:t>Causal instrument</w:t>
            </w:r>
          </w:p>
        </w:tc>
        <w:tc>
          <w:tcPr>
            <w:tcW w:type="dxa" w:w="2160"/>
          </w:tcPr>
          <w:p>
            <w:r>
              <w:rPr>
                <w:sz w:val="17"/>
              </w:rPr>
              <w:t>eQTLGen cis-eQTL</w:t>
            </w:r>
          </w:p>
        </w:tc>
        <w:tc>
          <w:tcPr>
            <w:tcW w:type="dxa" w:w="2160"/>
          </w:tcPr>
          <w:p>
            <w:r>
              <w:rPr>
                <w:sz w:val="17"/>
              </w:rPr>
              <w:t>No (whole-blood cells)</w:t>
            </w:r>
          </w:p>
        </w:tc>
        <w:tc>
          <w:tcPr>
            <w:tcW w:type="dxa" w:w="2160"/>
          </w:tcPr>
          <w:p>
            <w:r>
              <w:rPr>
                <w:sz w:val="17"/>
              </w:rPr>
              <w:t>transcript / RNA</w:t>
            </w:r>
          </w:p>
        </w:tc>
      </w:tr>
      <w:tr>
        <w:tc>
          <w:tcPr>
            <w:tcW w:type="dxa" w:w="2160"/>
          </w:tcPr>
          <w:p>
            <w:r>
              <w:rPr>
                <w:sz w:val="17"/>
              </w:rPr>
              <w:t>Annotation</w:t>
            </w:r>
          </w:p>
        </w:tc>
        <w:tc>
          <w:tcPr>
            <w:tcW w:type="dxa" w:w="2160"/>
          </w:tcPr>
          <w:p>
            <w:r>
              <w:rPr>
                <w:sz w:val="17"/>
              </w:rPr>
              <w:t>Human Protein Atlas</w:t>
            </w:r>
          </w:p>
        </w:tc>
        <w:tc>
          <w:tcPr>
            <w:tcW w:type="dxa" w:w="2160"/>
          </w:tcPr>
          <w:p>
            <w:r>
              <w:rPr>
                <w:sz w:val="17"/>
              </w:rPr>
              <w:t>No (cells / tissue)</w:t>
            </w:r>
          </w:p>
        </w:tc>
        <w:tc>
          <w:tcPr>
            <w:tcW w:type="dxa" w:w="2160"/>
          </w:tcPr>
          <w:p>
            <w:r>
              <w:rPr>
                <w:sz w:val="17"/>
              </w:rPr>
              <w:t>RNA / secretome</w:t>
            </w:r>
          </w:p>
        </w:tc>
      </w:tr>
      <w:tr>
        <w:tc>
          <w:tcPr>
            <w:tcW w:type="dxa" w:w="2160"/>
          </w:tcPr>
          <w:p>
            <w:r>
              <w:rPr>
                <w:sz w:val="17"/>
              </w:rPr>
              <w:t>Disease outcome</w:t>
            </w:r>
          </w:p>
        </w:tc>
        <w:tc>
          <w:tcPr>
            <w:tcW w:type="dxa" w:w="2160"/>
          </w:tcPr>
          <w:p>
            <w:r>
              <w:rPr>
                <w:sz w:val="17"/>
              </w:rPr>
              <w:t>FinnGen / OpenGWAS</w:t>
            </w:r>
          </w:p>
        </w:tc>
        <w:tc>
          <w:tcPr>
            <w:tcW w:type="dxa" w:w="2160"/>
          </w:tcPr>
          <w:p>
            <w:r>
              <w:rPr>
                <w:sz w:val="17"/>
              </w:rPr>
              <w:t>No (germline DNA + clinical diagnosis)</w:t>
            </w:r>
          </w:p>
        </w:tc>
        <w:tc>
          <w:tcPr>
            <w:tcW w:type="dxa" w:w="2160"/>
          </w:tcPr>
          <w:p>
            <w:r>
              <w:rPr>
                <w:sz w:val="17"/>
              </w:rPr>
              <w:t>DNA → phenotype</w:t>
            </w:r>
          </w:p>
        </w:tc>
      </w:tr>
    </w:tbl>
    <w:p>
      <w:r>
        <w:rPr>
          <w:b w:val="0"/>
          <w:i w:val="0"/>
          <w:sz w:val="21"/>
        </w:rPr>
        <w:t>So the resource is a plasma-immunome model in the sense that its object and its risk score are plasma proteins, but its causal spine is multi-omic (plasma protein + blood transcript + germline DNA + clinical phenotype). The transcript-to-protein step exists precisely because the discovery instrument is transcript rather than plasma protein, and it exposes real discordances (for example IL6ST, whose effect reverses sign between transcript and plasma protein).</w:t>
      </w:r>
    </w:p>
    <w:p>
      <w:pPr>
        <w:pStyle w:val="Heading2"/>
      </w:pPr>
      <w:r>
        <w:rPr>
          <w:color w:val="2E629E"/>
        </w:rPr>
        <w:t>2.4  What the trained model can answer, in plain terms</w:t>
      </w:r>
    </w:p>
    <w:p>
      <w:r>
        <w:rPr>
          <w:b w:val="0"/>
          <w:i w:val="0"/>
          <w:sz w:val="21"/>
        </w:rPr>
        <w:t>A reader deciding whether the resource is useful to them should know the concrete questions it can answer. At the level of the causal atlas:</w:t>
      </w:r>
    </w:p>
    <w:p>
      <w:pPr>
        <w:pStyle w:val="ListBullet"/>
      </w:pPr>
      <w:r>
        <w:rPr>
          <w:b/>
        </w:rPr>
        <w:t xml:space="preserve">Which proteins matter for a disease? — </w:t>
      </w:r>
      <w:r>
        <w:t>i.e. which plasma immune proteins causally influence a given disease, and in which direction (raising or lowering risk).</w:t>
      </w:r>
    </w:p>
    <w:p>
      <w:pPr>
        <w:pStyle w:val="ListBullet"/>
      </w:pPr>
      <w:r>
        <w:rPr>
          <w:b/>
        </w:rPr>
        <w:t xml:space="preserve">Is the link real or an artefact? — </w:t>
      </w:r>
      <w:r>
        <w:t>i.e. is the disease association driven by the same causal variant as the protein (colocalization), or is it linkage-disequilibrium coincidence?</w:t>
      </w:r>
    </w:p>
    <w:p>
      <w:pPr>
        <w:pStyle w:val="ListBullet"/>
      </w:pPr>
      <w:r>
        <w:rPr>
          <w:b/>
        </w:rPr>
        <w:t xml:space="preserve">Does it survive validation? — </w:t>
      </w:r>
      <w:r>
        <w:t>i.e. does the signal hold at the protein level (pQTL) and in an independent, non-Finnish cohort (replication)?</w:t>
      </w:r>
    </w:p>
    <w:p>
      <w:pPr>
        <w:pStyle w:val="ListBullet"/>
      </w:pPr>
      <w:r>
        <w:rPr>
          <w:b/>
        </w:rPr>
        <w:t xml:space="preserve">Which way should a drug push it? — </w:t>
      </w:r>
      <w:r>
        <w:t>i.e. should a drug block/neutralise the protein (it raises risk) or agonise/replace it (it is protective)?</w:t>
      </w:r>
    </w:p>
    <w:p>
      <w:pPr>
        <w:pStyle w:val="ListBullet"/>
      </w:pPr>
      <w:r>
        <w:rPr>
          <w:b/>
        </w:rPr>
        <w:t xml:space="preserve">Which targets are new and shared? — </w:t>
      </w:r>
      <w:r>
        <w:t>i.e. which proteins act across several disease systems, and which are novel and druggable rather than already-drugged?</w:t>
      </w:r>
    </w:p>
    <w:p>
      <w:r>
        <w:rPr>
          <w:b w:val="0"/>
          <w:i w:val="0"/>
          <w:sz w:val="21"/>
        </w:rPr>
        <w:t>And at the level of the trained PIRS, on any cohort the user is authorised to analyse:</w:t>
      </w:r>
    </w:p>
    <w:p>
      <w:pPr>
        <w:pStyle w:val="ListBullet"/>
      </w:pPr>
      <w:r>
        <w:rPr>
          <w:b/>
        </w:rPr>
        <w:t xml:space="preserve">What is this individual’s risk? — </w:t>
      </w:r>
      <w:r>
        <w:t>given a person’s measured plasma immune proteome today, what is their relative future risk of disease X over follow-up?</w:t>
      </w:r>
    </w:p>
    <w:p>
      <w:pPr>
        <w:pStyle w:val="ListBullet"/>
      </w:pPr>
      <w:r>
        <w:rPr>
          <w:b/>
        </w:rPr>
        <w:t xml:space="preserve">What drives the prediction? — </w:t>
      </w:r>
      <w:r>
        <w:t>which immune proteins carry the predictive signal for disease X in this cohort, and with what sign?</w:t>
      </w:r>
    </w:p>
    <w:p>
      <w:pPr>
        <w:pStyle w:val="ListBullet"/>
      </w:pPr>
      <w:r>
        <w:rPr>
          <w:b/>
        </w:rPr>
        <w:t xml:space="preserve">Is prediction mechanistic? — </w:t>
      </w:r>
      <w:r>
        <w:t>do the proteins the predictor relies on match the proteins the causal atlas nominates — i.e. is prediction being driven by mechanism?</w:t>
      </w:r>
    </w:p>
    <w:p>
      <w:pPr>
        <w:pStyle w:val="ListBullet"/>
      </w:pPr>
      <w:r>
        <w:rPr>
          <w:b/>
        </w:rPr>
        <w:t xml:space="preserve">Does it add clinical value? — </w:t>
      </w:r>
      <w:r>
        <w:t>does the immune-protein score add discrimination beyond age, sex and standard clinical predictors?</w:t>
      </w:r>
    </w:p>
    <w:p>
      <w:pPr>
        <w:pStyle w:val="ListBullet"/>
      </w:pPr>
      <w:r>
        <w:rPr>
          <w:b/>
        </w:rPr>
        <w:t xml:space="preserve">Does it transport? — </w:t>
      </w:r>
      <w:r>
        <w:t>does a score trained in one population transfer to another?</w:t>
      </w:r>
    </w:p>
    <w:p>
      <w:r>
        <w:rPr>
          <w:b w:val="0"/>
          <w:i w:val="0"/>
          <w:sz w:val="21"/>
        </w:rPr>
        <w:t>Equally important is what it does NOT answer: it is not a diagnostic, it does not establish mechanism on its own (genetic triangulation nominates, functional experiments prove), it does not cover non-immune or intracellular proteins, and — unless the user trains it on their own individual-level cohort — the shipped resource is a causal/summary map rather than a per-patient predictor.</w:t>
      </w:r>
    </w:p>
    <w:p>
      <w:r>
        <w:br w:type="page"/>
      </w:r>
    </w:p>
    <w:p>
      <w:pPr>
        <w:pStyle w:val="Heading1"/>
      </w:pPr>
      <w:r>
        <w:rPr>
          <w:color w:val="1F4E79"/>
        </w:rPr>
        <w:t>PART A · DATA: sources, acquisition and provenance</w:t>
      </w:r>
    </w:p>
    <w:p>
      <w:r>
        <w:rPr>
          <w:b w:val="0"/>
          <w:i w:val="0"/>
          <w:sz w:val="21"/>
        </w:rPr>
        <w:t>The atlas is built exclusively from public, citable resources. No individual-level, credentialed or gated dataset was used at any point, and no data were fabricated or imputed to stand in for gated resources. Where a desirable resource is access-controlled (for example UK Biobank individual-level proteomics, or the UKB-PPP/Synapse and deCODE plasma pQTL panels), it was explicitly excluded and its absence is stated as a limitation rather than papered over. This section documents each data source, how it was obtained, its coordinate system and units, and how it is used downstream.</w:t>
      </w:r>
    </w:p>
    <w:p>
      <w:pPr>
        <w:pStyle w:val="Heading2"/>
      </w:pPr>
      <w:r>
        <w:rPr>
          <w:color w:val="2E629E"/>
        </w:rPr>
        <w:t>A.1  The plasma-protein universe: Olink Explore</w:t>
      </w:r>
    </w:p>
    <w:p>
      <w:r>
        <w:rPr>
          <w:b w:val="0"/>
          <w:i w:val="0"/>
          <w:sz w:val="21"/>
        </w:rPr>
        <w:t>The starting universe of measurable proteins is the Olink Explore panel as deployed at population scale, comprising 2,923 protein assays. Olink Explore uses the Proximity Extension Assay (PEA): each protein is recognised by a pair of antibodies, each carrying a unique oligonucleotide; when both bind the same target the oligonucleotides hybridise and are quantified by next-generation sequencing. The read-out is Normalised Protein eXpression (NPX), a relative, log2 abundance on an arbitrary linear scale in which one unit corresponds to a doubling of protein concentration. NPX is comparative, not absolute; it is well-suited to ranking individuals and to regression, which is exactly how the PIRS uses it. The Olink assay-to-gene mapping (assay identifier, UniProt, gene symbol) is used to bridge the proteomic space to genetics, because instruments and disease GWAS are indexed by gene and variant, not by aptamer.</w:t>
      </w:r>
    </w:p>
    <w:p>
      <w:r>
        <w:rPr>
          <w:b w:val="0"/>
          <w:i w:val="0"/>
          <w:sz w:val="21"/>
        </w:rPr>
        <w:t>Provenance and access. The identities of the 2,923 assays (the protein universe) are public. The individual-level NPX measurements themselves, when derived from UK Biobank, are controlled-access and were NOT used to build the atlas. The PIRS trainer is therefore designed to run on whatever authorised NPX matrix the end user supplies (UK Biobank under an approved application, a hospital cohort, or a new Olink run), never on shipped individual-level data.</w:t>
      </w:r>
    </w:p>
    <w:p>
      <w:pPr>
        <w:pStyle w:val="Heading2"/>
      </w:pPr>
      <w:r>
        <w:rPr>
          <w:color w:val="2E629E"/>
        </w:rPr>
        <w:t>A.2  Protein annotation: Human Protein Atlas and MSigDB</w:t>
      </w:r>
    </w:p>
    <w:p>
      <w:r>
        <w:rPr>
          <w:b w:val="0"/>
          <w:i w:val="0"/>
          <w:sz w:val="21"/>
        </w:rPr>
        <w:t>Two orthogonal annotation resources convert the flat list of assays into a biologically structured immune proteome:</w:t>
      </w:r>
    </w:p>
    <w:p>
      <w:pPr>
        <w:pStyle w:val="ListBullet"/>
      </w:pPr>
      <w:r>
        <w:rPr>
          <w:b/>
        </w:rPr>
        <w:t xml:space="preserve">Human Protein Atlas (HPA): </w:t>
      </w:r>
      <w:r>
        <w:t>the master table proteinatlas.tsv (20,162 genes), which provides, per gene, immune-cell RNA specificity and expression across sorted blood-cell populations, secretome location (secreted / membrane / intracellular), molecular function, and a curated protein class (including drug-target and FDA-approved-target flags used later for druggability).</w:t>
      </w:r>
    </w:p>
    <w:p>
      <w:pPr>
        <w:pStyle w:val="ListBullet"/>
      </w:pPr>
      <w:r>
        <w:rPr>
          <w:b/>
        </w:rPr>
        <w:t xml:space="preserve">MSigDB (Molecular Signatures Database): </w:t>
      </w:r>
      <w:r>
        <w:t>the immunologic-signature collection C7 (5,219 gene sets) and cell-type collection C8 (840 sets). C7 proved so permissive that it covered almost the entire Olink space; it was therefore demoted to annotation only and never used as an inclusion filter — an early, concrete application of the calibration principle.</w:t>
      </w:r>
    </w:p>
    <w:p>
      <w:r>
        <w:rPr>
          <w:b w:val="0"/>
          <w:i w:val="0"/>
          <w:sz w:val="21"/>
        </w:rPr>
        <w:t>Both resources are public and downloadable in full. HPA supplies the immune-cell lineage of origin for each protein (granulocyte, monocyte/myeloid, dendritic, T-, B- and NK-cell), which is what allows later disease signals to be read back to a cell of origin, and the secretome/protein-class fields that later drive the druggability component of the novelty engine.</w:t>
      </w:r>
    </w:p>
    <w:p>
      <w:pPr>
        <w:pStyle w:val="Heading2"/>
      </w:pPr>
      <w:r>
        <w:rPr>
          <w:color w:val="2E629E"/>
        </w:rPr>
        <w:t>A.3  Genetic instruments (exposure side): eQTLGen cis-eQTLs</w:t>
      </w:r>
    </w:p>
    <w:p>
      <w:r>
        <w:rPr>
          <w:b w:val="0"/>
          <w:i w:val="0"/>
          <w:sz w:val="21"/>
        </w:rPr>
        <w:t>Causal direction is exposed by genetics. For the transcript-level exposure we use eQTLGen, a meta-analysis of blood cis-expression quantitative trait loci (cis-eQTLs) in up to ~31,684 individuals. The significant-cis file (~322 MB compressed, ~127 million SNP–gene rows) provides, per variant–gene pair, the Z-score of association between genotype and gene expression, the assessed and other alleles, and the discovery sample size. Because eQTLGen reports Z-scores rather than betas on a natural scale, effect sizes are reconstructed analytically (Section C.2). eQTLGen is fully public.</w:t>
      </w:r>
    </w:p>
    <w:p>
      <w:pPr>
        <w:pStyle w:val="Heading2"/>
      </w:pPr>
      <w:r>
        <w:rPr>
          <w:color w:val="2E629E"/>
        </w:rPr>
        <w:t>A.4  Protein-level instruments (validation side): INTERVAL plasma pQTLs</w:t>
      </w:r>
    </w:p>
    <w:p>
      <w:r>
        <w:rPr>
          <w:b w:val="0"/>
          <w:i w:val="0"/>
          <w:sz w:val="21"/>
        </w:rPr>
        <w:t>Because a cis-eQTL indexes transcript, not protein, abundance, the atlas seeks an independent protein-level instrument. We use plasma cis-pQTLs from the INTERVAL study (Sun et al., 2018; ~3,300 SomaScan aptamers in ~3,300 blood donors), obtained as fully harmonised GWAS-Catalog summary statistics (GRCh37) over the EBI FTP mirror — a login-free, public route. For each significant gene the genome-wide file is downloaded, the cis window (±500 kb around the gene body, coordinates from Ensembl GRCh37) is extracted, and the genome-wide file is then deleted to conserve storage. INTERVAL supplies real effect sizes and standard errors on both the exposure and outcome sides, enabling a genuine protein-level Mendelian-randomization and protein-level colocalization. The alternative protein panels (UKB-PPP via Synapse; deCODE via a data-use agreement) are gated behind login or a legal agreement and were deliberately not used.</w:t>
      </w:r>
    </w:p>
    <w:p>
      <w:pPr>
        <w:pStyle w:val="Heading2"/>
      </w:pPr>
      <w:r>
        <w:rPr>
          <w:color w:val="2E629E"/>
        </w:rPr>
        <w:t>A.5  Disease outcomes: FinnGen R12 (the phenome)</w:t>
      </w:r>
    </w:p>
    <w:p>
      <w:r>
        <w:rPr>
          <w:b w:val="0"/>
          <w:i w:val="0"/>
          <w:sz w:val="21"/>
        </w:rPr>
        <w:t>Disease association (the outcome side) comes from FinnGen Data Freeze 12 (R12), a Finnish biobank-scale GWAS resource covering thousands of endpoints. FinnGen provides per-endpoint genome-wide summary statistics (variant, alleles, beta, standard error, p-value, allele frequency) with a public manifest of direct download paths. The atlas uses FinnGen at two scales:</w:t>
      </w:r>
    </w:p>
    <w:p>
      <w:pPr>
        <w:pStyle w:val="ListBullet"/>
      </w:pPr>
      <w:r>
        <w:rPr>
          <w:b/>
        </w:rPr>
        <w:t xml:space="preserve">Discovery (autoimmune core): </w:t>
      </w:r>
      <w:r>
        <w:t>13 immune-mediated endpoints (rheumatoid arthritis, multiple sclerosis, ankylosing spondylitis, psoriasis, coeliac disease, Crohn’s disease, sarcoidosis, systemic lupus, vitiligo, Sjögren syndrome, autoimmune thyroiditis, autoimmune hyperthyroidism, Guillain–Barré syndrome).</w:t>
      </w:r>
    </w:p>
    <w:p>
      <w:pPr>
        <w:pStyle w:val="ListBullet"/>
      </w:pPr>
      <w:r>
        <w:rPr>
          <w:b/>
        </w:rPr>
        <w:t xml:space="preserve">Pan-phenome expansion: </w:t>
      </w:r>
      <w:r>
        <w:t>15 additional well-powered non-immune endpoints spanning cardiovascular (hypertension, coronary heart disease, atrial fibrillation, heart failure, stroke, venous thromboembolism), metabolic (type-1 and type-2 diabetes, obesity), renal (chronic kidney disease), and neurodegenerative/aging (dementia, Alzheimer’s disease, epilepsy, glaucoma, osteoporosis) categories — giving 28 diseases in five categories in total.</w:t>
      </w:r>
    </w:p>
    <w:p>
      <w:r>
        <w:rPr>
          <w:b w:val="0"/>
          <w:i w:val="0"/>
          <w:sz w:val="21"/>
        </w:rPr>
        <w:t>Each FinnGen sumstat file is ~0.8 GB; all 28 were downloaded into the project (~23 GB) so that every result is computed on real, complete summary statistics rather than a subset. FinnGen R12 is public.</w:t>
      </w:r>
    </w:p>
    <w:p>
      <w:pPr>
        <w:pStyle w:val="Heading2"/>
      </w:pPr>
      <w:r>
        <w:rPr>
          <w:color w:val="2E629E"/>
        </w:rPr>
        <w:t>A.6  Independent replication GWAS: OpenGWAS consortia</w:t>
      </w:r>
    </w:p>
    <w:p>
      <w:r>
        <w:rPr>
          <w:b w:val="0"/>
          <w:i w:val="0"/>
          <w:sz w:val="21"/>
        </w:rPr>
        <w:t>To guard against discovery being an artefact of a single (Finnish) cohort, each significant instrument variant is re-queried in an independent, FinnGen-free consortium GWAS via the OpenGWAS API. The independent studies used are IMSGC/Patsopoulos (multiple sclerosis), Okada (rheumatoid arthritis), IGAS/Cortes (ankylosing spondylitis), Stuart (psoriasis), Fischer (sarcoidosis), Sakaue (autoimmune thyroid) and others. OpenGWAS requires a free personal JWT token; the token is stored locally and never committed, and because the replication output is saved to disk, the token is not needed to reproduce downstream steps.</w:t>
      </w:r>
    </w:p>
    <w:p>
      <w:pPr>
        <w:pStyle w:val="Heading2"/>
      </w:pPr>
      <w:r>
        <w:rPr>
          <w:color w:val="2E629E"/>
        </w:rPr>
        <w:t>A.7  Data-access reality and what was deliberately excluded</w:t>
      </w:r>
    </w:p>
    <w:p>
      <w:r>
        <w:rPr>
          <w:b w:val="0"/>
          <w:i w:val="0"/>
          <w:sz w:val="21"/>
        </w:rPr>
        <w:t>The single most important honesty constraint of the project is that several attractive resources are gated, and none of them were substituted with fabricated data. Individual-level UK Biobank NPX and phenotypes require an approved application through the UKB Access Management System (Olink is field 30900). UKB-PPP plasma pQTLs are served only behind a Synapse login. deCODE plasma pQTLs require submitting a data-use agreement under the user’s identity. Each of these was left out by design. The consequence — that the atlas is a summary-statistics causal resource rather than an individual-level-trained model — is stated plainly, and the PIRS is engineered precisely to close that gap for any user who does hold authorised individual-level data.</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Layer</w:t>
            </w:r>
          </w:p>
        </w:tc>
        <w:tc>
          <w:tcPr>
            <w:tcW w:type="dxa" w:w="2160"/>
          </w:tcPr>
          <w:p>
            <w:r>
              <w:rPr>
                <w:b/>
                <w:sz w:val="17"/>
              </w:rPr>
              <w:t>Source</w:t>
            </w:r>
          </w:p>
        </w:tc>
        <w:tc>
          <w:tcPr>
            <w:tcW w:type="dxa" w:w="2160"/>
          </w:tcPr>
          <w:p>
            <w:r>
              <w:rPr>
                <w:b/>
                <w:sz w:val="17"/>
              </w:rPr>
              <w:t>Role</w:t>
            </w:r>
          </w:p>
        </w:tc>
        <w:tc>
          <w:tcPr>
            <w:tcW w:type="dxa" w:w="2160"/>
          </w:tcPr>
          <w:p>
            <w:r>
              <w:rPr>
                <w:b/>
                <w:sz w:val="17"/>
              </w:rPr>
              <w:t>Access</w:t>
            </w:r>
          </w:p>
        </w:tc>
      </w:tr>
      <w:tr>
        <w:tc>
          <w:tcPr>
            <w:tcW w:type="dxa" w:w="2160"/>
          </w:tcPr>
          <w:p>
            <w:r>
              <w:rPr>
                <w:sz w:val="17"/>
              </w:rPr>
              <w:t>Protein universe</w:t>
            </w:r>
          </w:p>
        </w:tc>
        <w:tc>
          <w:tcPr>
            <w:tcW w:type="dxa" w:w="2160"/>
          </w:tcPr>
          <w:p>
            <w:r>
              <w:rPr>
                <w:sz w:val="17"/>
              </w:rPr>
              <w:t>Olink Explore (2,923 assays)</w:t>
            </w:r>
          </w:p>
        </w:tc>
        <w:tc>
          <w:tcPr>
            <w:tcW w:type="dxa" w:w="2160"/>
          </w:tcPr>
          <w:p>
            <w:r>
              <w:rPr>
                <w:sz w:val="17"/>
              </w:rPr>
              <w:t>defines measurable proteome</w:t>
            </w:r>
          </w:p>
        </w:tc>
        <w:tc>
          <w:tcPr>
            <w:tcW w:type="dxa" w:w="2160"/>
          </w:tcPr>
          <w:p>
            <w:r>
              <w:rPr>
                <w:sz w:val="17"/>
              </w:rPr>
              <w:t>public (identities)</w:t>
            </w:r>
          </w:p>
        </w:tc>
      </w:tr>
      <w:tr>
        <w:tc>
          <w:tcPr>
            <w:tcW w:type="dxa" w:w="2160"/>
          </w:tcPr>
          <w:p>
            <w:r>
              <w:rPr>
                <w:sz w:val="17"/>
              </w:rPr>
              <w:t>Annotation</w:t>
            </w:r>
          </w:p>
        </w:tc>
        <w:tc>
          <w:tcPr>
            <w:tcW w:type="dxa" w:w="2160"/>
          </w:tcPr>
          <w:p>
            <w:r>
              <w:rPr>
                <w:sz w:val="17"/>
              </w:rPr>
              <w:t>Human Protein Atlas</w:t>
            </w:r>
          </w:p>
        </w:tc>
        <w:tc>
          <w:tcPr>
            <w:tcW w:type="dxa" w:w="2160"/>
          </w:tcPr>
          <w:p>
            <w:r>
              <w:rPr>
                <w:sz w:val="17"/>
              </w:rPr>
              <w:t>immune-cell / secretome / druggability</w:t>
            </w:r>
          </w:p>
        </w:tc>
        <w:tc>
          <w:tcPr>
            <w:tcW w:type="dxa" w:w="2160"/>
          </w:tcPr>
          <w:p>
            <w:r>
              <w:rPr>
                <w:sz w:val="17"/>
              </w:rPr>
              <w:t>public</w:t>
            </w:r>
          </w:p>
        </w:tc>
      </w:tr>
      <w:tr>
        <w:tc>
          <w:tcPr>
            <w:tcW w:type="dxa" w:w="2160"/>
          </w:tcPr>
          <w:p>
            <w:r>
              <w:rPr>
                <w:sz w:val="17"/>
              </w:rPr>
              <w:t>Annotation</w:t>
            </w:r>
          </w:p>
        </w:tc>
        <w:tc>
          <w:tcPr>
            <w:tcW w:type="dxa" w:w="2160"/>
          </w:tcPr>
          <w:p>
            <w:r>
              <w:rPr>
                <w:sz w:val="17"/>
              </w:rPr>
              <w:t>MSigDB C7/C8</w:t>
            </w:r>
          </w:p>
        </w:tc>
        <w:tc>
          <w:tcPr>
            <w:tcW w:type="dxa" w:w="2160"/>
          </w:tcPr>
          <w:p>
            <w:r>
              <w:rPr>
                <w:sz w:val="17"/>
              </w:rPr>
              <w:t>immune signatures (annotation only)</w:t>
            </w:r>
          </w:p>
        </w:tc>
        <w:tc>
          <w:tcPr>
            <w:tcW w:type="dxa" w:w="2160"/>
          </w:tcPr>
          <w:p>
            <w:r>
              <w:rPr>
                <w:sz w:val="17"/>
              </w:rPr>
              <w:t>public</w:t>
            </w:r>
          </w:p>
        </w:tc>
      </w:tr>
      <w:tr>
        <w:tc>
          <w:tcPr>
            <w:tcW w:type="dxa" w:w="2160"/>
          </w:tcPr>
          <w:p>
            <w:r>
              <w:rPr>
                <w:sz w:val="17"/>
              </w:rPr>
              <w:t>eQTL exposure</w:t>
            </w:r>
          </w:p>
        </w:tc>
        <w:tc>
          <w:tcPr>
            <w:tcW w:type="dxa" w:w="2160"/>
          </w:tcPr>
          <w:p>
            <w:r>
              <w:rPr>
                <w:sz w:val="17"/>
              </w:rPr>
              <w:t>eQTLGen cis-eQTL</w:t>
            </w:r>
          </w:p>
        </w:tc>
        <w:tc>
          <w:tcPr>
            <w:tcW w:type="dxa" w:w="2160"/>
          </w:tcPr>
          <w:p>
            <w:r>
              <w:rPr>
                <w:sz w:val="17"/>
              </w:rPr>
              <w:t>transcript-level instruments</w:t>
            </w:r>
          </w:p>
        </w:tc>
        <w:tc>
          <w:tcPr>
            <w:tcW w:type="dxa" w:w="2160"/>
          </w:tcPr>
          <w:p>
            <w:r>
              <w:rPr>
                <w:sz w:val="17"/>
              </w:rPr>
              <w:t>public</w:t>
            </w:r>
          </w:p>
        </w:tc>
      </w:tr>
      <w:tr>
        <w:tc>
          <w:tcPr>
            <w:tcW w:type="dxa" w:w="2160"/>
          </w:tcPr>
          <w:p>
            <w:r>
              <w:rPr>
                <w:sz w:val="17"/>
              </w:rPr>
              <w:t>pQTL validation</w:t>
            </w:r>
          </w:p>
        </w:tc>
        <w:tc>
          <w:tcPr>
            <w:tcW w:type="dxa" w:w="2160"/>
          </w:tcPr>
          <w:p>
            <w:r>
              <w:rPr>
                <w:sz w:val="17"/>
              </w:rPr>
              <w:t>INTERVAL (Sun 2018)</w:t>
            </w:r>
          </w:p>
        </w:tc>
        <w:tc>
          <w:tcPr>
            <w:tcW w:type="dxa" w:w="2160"/>
          </w:tcPr>
          <w:p>
            <w:r>
              <w:rPr>
                <w:sz w:val="17"/>
              </w:rPr>
              <w:t>protein-level instruments</w:t>
            </w:r>
          </w:p>
        </w:tc>
        <w:tc>
          <w:tcPr>
            <w:tcW w:type="dxa" w:w="2160"/>
          </w:tcPr>
          <w:p>
            <w:r>
              <w:rPr>
                <w:sz w:val="17"/>
              </w:rPr>
              <w:t>public (GWAS Catalog)</w:t>
            </w:r>
          </w:p>
        </w:tc>
      </w:tr>
      <w:tr>
        <w:tc>
          <w:tcPr>
            <w:tcW w:type="dxa" w:w="2160"/>
          </w:tcPr>
          <w:p>
            <w:r>
              <w:rPr>
                <w:sz w:val="17"/>
              </w:rPr>
              <w:t>Disease GWAS</w:t>
            </w:r>
          </w:p>
        </w:tc>
        <w:tc>
          <w:tcPr>
            <w:tcW w:type="dxa" w:w="2160"/>
          </w:tcPr>
          <w:p>
            <w:r>
              <w:rPr>
                <w:sz w:val="17"/>
              </w:rPr>
              <w:t>FinnGen R12 (28 endpoints)</w:t>
            </w:r>
          </w:p>
        </w:tc>
        <w:tc>
          <w:tcPr>
            <w:tcW w:type="dxa" w:w="2160"/>
          </w:tcPr>
          <w:p>
            <w:r>
              <w:rPr>
                <w:sz w:val="17"/>
              </w:rPr>
              <w:t>outcome / phenome</w:t>
            </w:r>
          </w:p>
        </w:tc>
        <w:tc>
          <w:tcPr>
            <w:tcW w:type="dxa" w:w="2160"/>
          </w:tcPr>
          <w:p>
            <w:r>
              <w:rPr>
                <w:sz w:val="17"/>
              </w:rPr>
              <w:t>public</w:t>
            </w:r>
          </w:p>
        </w:tc>
      </w:tr>
      <w:tr>
        <w:tc>
          <w:tcPr>
            <w:tcW w:type="dxa" w:w="2160"/>
          </w:tcPr>
          <w:p>
            <w:r>
              <w:rPr>
                <w:sz w:val="17"/>
              </w:rPr>
              <w:t>Replication</w:t>
            </w:r>
          </w:p>
        </w:tc>
        <w:tc>
          <w:tcPr>
            <w:tcW w:type="dxa" w:w="2160"/>
          </w:tcPr>
          <w:p>
            <w:r>
              <w:rPr>
                <w:sz w:val="17"/>
              </w:rPr>
              <w:t>OpenGWAS consortia</w:t>
            </w:r>
          </w:p>
        </w:tc>
        <w:tc>
          <w:tcPr>
            <w:tcW w:type="dxa" w:w="2160"/>
          </w:tcPr>
          <w:p>
            <w:r>
              <w:rPr>
                <w:sz w:val="17"/>
              </w:rPr>
              <w:t>out-of-sample validation</w:t>
            </w:r>
          </w:p>
        </w:tc>
        <w:tc>
          <w:tcPr>
            <w:tcW w:type="dxa" w:w="2160"/>
          </w:tcPr>
          <w:p>
            <w:r>
              <w:rPr>
                <w:sz w:val="17"/>
              </w:rPr>
              <w:t>free token</w:t>
            </w:r>
          </w:p>
        </w:tc>
      </w:tr>
      <w:tr>
        <w:tc>
          <w:tcPr>
            <w:tcW w:type="dxa" w:w="2160"/>
          </w:tcPr>
          <w:p>
            <w:r>
              <w:rPr>
                <w:sz w:val="17"/>
              </w:rPr>
              <w:t>Excluded</w:t>
            </w:r>
          </w:p>
        </w:tc>
        <w:tc>
          <w:tcPr>
            <w:tcW w:type="dxa" w:w="2160"/>
          </w:tcPr>
          <w:p>
            <w:r>
              <w:rPr>
                <w:sz w:val="17"/>
              </w:rPr>
              <w:t>UKB-PPP / deCODE / UKB NPX</w:t>
            </w:r>
          </w:p>
        </w:tc>
        <w:tc>
          <w:tcPr>
            <w:tcW w:type="dxa" w:w="2160"/>
          </w:tcPr>
          <w:p>
            <w:r>
              <w:rPr>
                <w:sz w:val="17"/>
              </w:rPr>
              <w:t>(not used)</w:t>
            </w:r>
          </w:p>
        </w:tc>
        <w:tc>
          <w:tcPr>
            <w:tcW w:type="dxa" w:w="2160"/>
          </w:tcPr>
          <w:p>
            <w:r>
              <w:rPr>
                <w:sz w:val="17"/>
              </w:rPr>
              <w:t>gated</w:t>
            </w:r>
          </w:p>
        </w:tc>
      </w:tr>
    </w:tbl>
    <w:p>
      <w:r>
        <w:br w:type="page"/>
      </w:r>
    </w:p>
    <w:p>
      <w:pPr>
        <w:pStyle w:val="Heading1"/>
      </w:pPr>
      <w:r>
        <w:rPr>
          <w:color w:val="1F4E79"/>
        </w:rPr>
        <w:t>PART B · Defining the plasma immunome</w:t>
      </w:r>
    </w:p>
    <w:p>
      <w:r>
        <w:rPr>
          <w:b w:val="0"/>
          <w:i w:val="0"/>
          <w:sz w:val="21"/>
        </w:rPr>
        <w:t>The purpose of Part B is to convert the 2,923 raw Olink assays into a defensible, biologically coherent set of plasma-detectable immune proteins — the feature space shared by every downstream analysis and by the PIRS.</w:t>
      </w:r>
    </w:p>
    <w:p>
      <w:pPr>
        <w:pStyle w:val="Heading2"/>
      </w:pPr>
      <w:r>
        <w:rPr>
          <w:color w:val="2E629E"/>
        </w:rPr>
        <w:t>B.1  Inclusion score</w:t>
      </w:r>
    </w:p>
    <w:p>
      <w:r>
        <w:rPr>
          <w:b w:val="0"/>
          <w:i w:val="0"/>
          <w:sz w:val="21"/>
        </w:rPr>
        <w:t>Each assay is scored by an additive, transparent inclusion rule that combines orthogonal evidence that a protein is (a) immune-relevant and (b) plausibly present and measurable in plasma. The score weights most heavily membership of core immune pathways (cytokine, chemokine, interferon, TNF superfamily), complement and checkpoint biology, and HPA immune-cell RNA enrichment; it additionally credits secreted/receptor secretome location (which favours plasma detectability and druggability) and curated CD/leukocyte, HLA, immunoglobulin, acute-phase and coagulation annotation. Proteins passing the threshold constitute the plasma immunome. The procedure retains 1,007 plasma immune proteins from the 2,923-assay universe. Crucially, MSigDB C7 was excluded from the score because it covered almost the entire panel and therefore carried no discriminating information — an explicit guard against a criterion that would have admitted everything.</w:t>
      </w:r>
    </w:p>
    <w:p>
      <w:pPr>
        <w:pStyle w:val="Heading2"/>
      </w:pPr>
      <w:r>
        <w:rPr>
          <w:color w:val="2E629E"/>
        </w:rPr>
        <w:t>B.2  Cell-source and druggability annotation</w:t>
      </w:r>
    </w:p>
    <w:p>
      <w:r>
        <w:rPr>
          <w:b w:val="0"/>
          <w:i w:val="0"/>
          <w:sz w:val="21"/>
        </w:rPr>
        <w:t>For every retained protein the resource stores its immune class (the pathway that defines it) and its blood-cell lineage of origin from HPA sorted-cell expression. This is what later permits a disease signal to be mapped back to granulocyte, myeloid/monocyte, dendritic, T-, B- or NK-cell biology. It also stores the HPA protein class and drug-target/FDA-target flags, secretome location and membrane topology, which feed the druggability component of the novelty engine (secreted and single-pass receptor proteins are the classes most tractable to antibodies and biologics).</w:t>
      </w:r>
    </w:p>
    <w:p>
      <w:r>
        <w:br w:type="page"/>
      </w:r>
    </w:p>
    <w:p>
      <w:pPr>
        <w:pStyle w:val="Heading1"/>
      </w:pPr>
      <w:r>
        <w:rPr>
          <w:color w:val="1F4E79"/>
        </w:rPr>
        <w:t>PART C · Genetic instruments</w:t>
      </w:r>
    </w:p>
    <w:p>
      <w:r>
        <w:rPr>
          <w:b w:val="0"/>
          <w:i w:val="0"/>
          <w:sz w:val="21"/>
        </w:rPr>
        <w:t>Mendelian randomization (MR) uses a genetic variant as a natural experiment: because alleles are assigned at conception and are largely independent of later confounders, a variant that raises a protein’s abundance and is also associated with disease provides directional, confounding-resistant evidence that the protein influences the disease. The quality of an MR analysis is the quality of its instruments; Part C documents how they are built.</w:t>
      </w:r>
    </w:p>
    <w:p>
      <w:pPr>
        <w:pStyle w:val="Heading2"/>
      </w:pPr>
      <w:r>
        <w:rPr>
          <w:color w:val="2E629E"/>
        </w:rPr>
        <w:t>C.1  cis-instrument selection</w:t>
      </w:r>
    </w:p>
    <w:p>
      <w:r>
        <w:rPr>
          <w:b w:val="0"/>
          <w:i w:val="0"/>
          <w:sz w:val="21"/>
        </w:rPr>
        <w:t>For each of the 812 immune genes with a usable signal, the single strongest cis-eQTL (the variant with the largest absolute expression Z-score within the gene’s cis window in eQTLGen) is chosen as a one-SNP instrument. A cis instrument is preferred to a trans instrument because a variant acting in cis on the very gene it neighbours is far more likely to affect disease through that gene’s protein product (satisfying the MR exclusion-restriction assumption) than a distant trans variant, which may act through many genes. Single strongest-cis instruments are the standard, conservative choice for protein/expression MR and are robust to the horizontal-pleiotropy problems that afflict multi-variant polygenic instruments.</w:t>
      </w:r>
    </w:p>
    <w:p>
      <w:pPr>
        <w:pStyle w:val="Heading2"/>
      </w:pPr>
      <w:r>
        <w:rPr>
          <w:color w:val="2E629E"/>
        </w:rPr>
        <w:t>C.2  Reconstructing effect sizes from Z-scores (Zhu et al., 2016)</w:t>
      </w:r>
    </w:p>
    <w:p>
      <w:r>
        <w:rPr>
          <w:b w:val="0"/>
          <w:i w:val="0"/>
          <w:sz w:val="21"/>
        </w:rPr>
        <w:t>eQTLGen reports a Z-score, not a beta on an interpretable scale. Using the effect-allele frequency p and the study sample size n, the standardised effect size and its standard error are reconstructed with the Zhu et al. (2016) transformation:</w:t>
      </w:r>
    </w:p>
    <w:p>
      <w:pPr>
        <w:jc w:val="center"/>
      </w:pPr>
      <w:r>
        <w:rPr>
          <w:rFonts w:ascii="Consolas" w:hAnsi="Consolas"/>
          <w:color w:val="222222"/>
          <w:sz w:val="20"/>
        </w:rPr>
        <w:t>denom = 2 · p · (1 − p) · (n + Z²)</w:t>
      </w:r>
    </w:p>
    <w:p>
      <w:pPr>
        <w:jc w:val="center"/>
      </w:pPr>
      <w:r>
        <w:rPr>
          <w:rFonts w:ascii="Consolas" w:hAnsi="Consolas"/>
          <w:color w:val="222222"/>
          <w:sz w:val="20"/>
        </w:rPr>
        <w:t>beta = Z / √denom          se = 1 / √denom</w:t>
      </w:r>
    </w:p>
    <w:p>
      <w:r>
        <w:rPr>
          <w:b w:val="0"/>
          <w:i w:val="0"/>
          <w:sz w:val="21"/>
        </w:rPr>
        <w:t>This yields a beta and standard error on the standardised-genotype scale that are directly usable in the Wald-ratio MR and, later, in the colocalization variance terms. The same allele frequency (taken from the FinnGen control/reference side) is used consistently so that exposure and outcome are on compatible scales.</w:t>
      </w:r>
    </w:p>
    <w:p>
      <w:pPr>
        <w:pStyle w:val="Heading2"/>
      </w:pPr>
      <w:r>
        <w:rPr>
          <w:color w:val="2E629E"/>
        </w:rPr>
        <w:t>C.3  Harmonisation</w:t>
      </w:r>
    </w:p>
    <w:p>
      <w:r>
        <w:rPr>
          <w:b w:val="0"/>
          <w:i w:val="0"/>
          <w:sz w:val="21"/>
        </w:rPr>
        <w:t>Exposure and outcome are harmonised to a common effect allele before any ratio is formed. Palindromic variants (A/T or C/G, whose strand is ambiguous) are removed rather than guessed. Alleles are aligned so that the eQTL effect is expressed with respect to the expression-increasing allele; the disease effect is flipped to match. Variants absent from the outcome GWAS are dropped. This harmonisation is applied identically in the transcript arm, the protein arm and the replication arm so that the direction of every reported effect is mutually comparable.</w:t>
      </w:r>
    </w:p>
    <w:p>
      <w:r>
        <w:br w:type="page"/>
      </w:r>
    </w:p>
    <w:p>
      <w:pPr>
        <w:pStyle w:val="Heading1"/>
      </w:pPr>
      <w:r>
        <w:rPr>
          <w:color w:val="1F4E79"/>
        </w:rPr>
        <w:t>PART D · Causal inference by Mendelian randomization</w:t>
      </w:r>
    </w:p>
    <w:p>
      <w:pPr>
        <w:pStyle w:val="Heading2"/>
      </w:pPr>
      <w:r>
        <w:rPr>
          <w:color w:val="2E629E"/>
        </w:rPr>
        <w:t>D.1  The Wald ratio</w:t>
      </w:r>
    </w:p>
    <w:p>
      <w:r>
        <w:rPr>
          <w:b w:val="0"/>
          <w:i w:val="0"/>
          <w:sz w:val="21"/>
        </w:rPr>
        <w:t>With a single instrument, the causal effect of the exposure (protein/transcript abundance) on the outcome (disease liability) is the Wald ratio — the ratio of the variant’s effect on the outcome to its effect on the exposure:</w:t>
      </w:r>
    </w:p>
    <w:p>
      <w:pPr>
        <w:jc w:val="center"/>
      </w:pPr>
      <w:r>
        <w:rPr>
          <w:rFonts w:ascii="Consolas" w:hAnsi="Consolas"/>
          <w:color w:val="222222"/>
          <w:sz w:val="20"/>
        </w:rPr>
        <w:t>beta_MR = beta_outcome / beta_exposure</w:t>
      </w:r>
    </w:p>
    <w:p>
      <w:pPr>
        <w:jc w:val="center"/>
      </w:pPr>
      <w:r>
        <w:rPr>
          <w:rFonts w:ascii="Consolas" w:hAnsi="Consolas"/>
          <w:color w:val="222222"/>
          <w:sz w:val="20"/>
        </w:rPr>
        <w:t>se_MR   = se_outcome / |beta_exposure|      (leading-order / delta method)</w:t>
      </w:r>
    </w:p>
    <w:p>
      <w:r>
        <w:rPr>
          <w:b w:val="0"/>
          <w:i w:val="0"/>
          <w:sz w:val="21"/>
        </w:rPr>
        <w:t>The estimate is exponentiated to an odds ratio (OR) so that OR&gt;1 means genetically higher protein raises disease risk, and OR&lt;1 means it lowers risk. This single directional number is the atomic unit of the atlas: it is not merely a correlation but a genetically-anchored estimate of the sign and approximate magnitude of a protein’s causal effect on a disease.</w:t>
      </w:r>
    </w:p>
    <w:p>
      <w:pPr>
        <w:pStyle w:val="Heading2"/>
      </w:pPr>
      <w:r>
        <w:rPr>
          <w:color w:val="2E629E"/>
        </w:rPr>
        <w:t>D.2  Multiple-testing control</w:t>
      </w:r>
    </w:p>
    <w:p>
      <w:r>
        <w:rPr>
          <w:b w:val="0"/>
          <w:i w:val="0"/>
          <w:sz w:val="21"/>
        </w:rPr>
        <w:t>Across the discovery arm, 812 immune instruments are tested against 13 immune diseases, giving 8,749 gene–disease tests. The false-discovery rate is controlled at 5% by the Benjamini–Hochberg procedure, yielding 32 significant gene–disease pairs. In the pan-phenome arm the same instruments are tested against all 28 diseases (18,844 tests), yielding 176 FDR-significant pairs. FDR rather than Bonferroni is used because the tests are correlated (shared instruments, related diseases) and the aim is discovery of a credible candidate set for downstream triangulation, not a single confirmatory decision.</w:t>
      </w:r>
    </w:p>
    <w:p>
      <w:pPr>
        <w:pStyle w:val="Heading2"/>
      </w:pPr>
      <w:r>
        <w:rPr>
          <w:color w:val="2E629E"/>
        </w:rPr>
        <w:t>D.3  Assumptions, and how each is addressed</w:t>
      </w:r>
    </w:p>
    <w:p>
      <w:pPr>
        <w:pStyle w:val="ListNumber"/>
      </w:pPr>
      <w:r>
        <w:rPr>
          <w:b/>
        </w:rPr>
        <w:t xml:space="preserve">Relevance: </w:t>
      </w:r>
      <w:r>
        <w:t>the instrument is associated with the exposure. Guaranteed by construction — the strongest genome-wide-significant cis-eQTL is chosen.</w:t>
      </w:r>
    </w:p>
    <w:p>
      <w:pPr>
        <w:pStyle w:val="ListNumber"/>
      </w:pPr>
      <w:r>
        <w:rPr>
          <w:b/>
        </w:rPr>
        <w:t xml:space="preserve">Independence: </w:t>
      </w:r>
      <w:r>
        <w:t>the instrument shares no confounder with the outcome. Made plausible by using cis variants and by flagging/withholding the MHC, the archetypal confounded region.</w:t>
      </w:r>
    </w:p>
    <w:p>
      <w:pPr>
        <w:pStyle w:val="ListNumber"/>
      </w:pPr>
      <w:r>
        <w:rPr>
          <w:b/>
        </w:rPr>
        <w:t xml:space="preserve">Exclusion restriction: </w:t>
      </w:r>
      <w:r>
        <w:t>the instrument affects the outcome only through the exposure. This is the hard assumption; a single cis-eQTL can still act through a neighbouring gene or through the protein rather than the transcript. This is exactly why the atlas does not stop at MR but triangulates with colocalization (Part E), an orthogonal protein-level instrument (Part F) and independent replication (Part G).</w:t>
      </w:r>
    </w:p>
    <w:p>
      <w:r>
        <w:rPr>
          <w:b w:val="0"/>
          <w:i w:val="0"/>
          <w:sz w:val="21"/>
        </w:rPr>
        <w:t>Two additional guards are built in. First, the MHC region on chromosome 6 (and complement genes such as C2/C4A/C4B) is flagged for extreme long-range linkage disequilibrium; signals there are capped at “nomination” and never promoted to a causal claim, because LD there routinely manufactures spurious colocalization. Second, the positive controls — genes that are the targets of approved drugs — are used as an internal calibration: a pipeline that blindly recovers IL6ST (tocilizumab) in rheumatoid arthritis, CTLA4 (abatacept) in autoimmune thyroid disease and TNFRSF1A (etanercept) in ankylosing spondylitis, with the correct direction, is calibrated to be believed when it points somewhere new.</w:t>
      </w:r>
    </w:p>
    <w:p>
      <w:pPr>
        <w:pStyle w:val="Heading2"/>
      </w:pPr>
      <w:r>
        <w:rPr>
          <w:color w:val="2E629E"/>
        </w:rPr>
        <w:t>D.4  Directionality, sensitivity and statistical power</w:t>
      </w:r>
    </w:p>
    <w:p>
      <w:r>
        <w:rPr>
          <w:b w:val="0"/>
          <w:i w:val="0"/>
          <w:sz w:val="21"/>
        </w:rPr>
        <w:t>Three further considerations govern whether a Wald-ratio estimate deserves attention. First, directionality: because both the exposure (expression) and the outcome (disease) are associated with the same variant, one must be satisfied that the variant acts on expression first and disease second, not the reverse. Using a cis-eQTL as the instrument makes the expression-first ordering mechanistically compelling (a nearby regulatory variant plausibly sets transcript level, which is upstream of a complex disease), and a Steiger-type check — the variant explains far more variance in cis-expression than in disease liability — is consistent with that ordering for the reported hits. Second, sensitivity: a single-instrument Wald ratio cannot run the multi-instrument pleiotropy diagnostics (MR-Egger intercept, weighted median, MR-PRESSO) that require many variants, so the atlas deliberately does not claim to have excluded horizontal pleiotropy by MR alone. Instead it treats colocalization, protein-level triangulation and out-of-sample replication as the sensitivity analyses, each of which attacks a different failure mode (LD confounding, transcript-vs-protein discordance, and cohort-specific artefact respectively). Third, power: the precision of a Wald ratio is bounded by the strength of the instrument (the cis-eQTL F-statistic) and by the number of disease cases; weak instruments inflate the ratio’s variance. Because only genome-wide-significant cis-eQTLs are used, weak-instrument bias is minimised, but the corollary is that genes without a strong cis-eQTL simply cannot be tested — an absence of a hit is never interpreted as evidence of no effect.</w:t>
      </w:r>
    </w:p>
    <w:p>
      <w:r>
        <w:br w:type="page"/>
      </w:r>
    </w:p>
    <w:p>
      <w:pPr>
        <w:pStyle w:val="Heading1"/>
      </w:pPr>
      <w:r>
        <w:rPr>
          <w:color w:val="1F4E79"/>
        </w:rPr>
        <w:t>PART E · Statistical colocalization</w:t>
      </w:r>
    </w:p>
    <w:p>
      <w:r>
        <w:rPr>
          <w:b w:val="0"/>
          <w:i w:val="0"/>
          <w:sz w:val="21"/>
        </w:rPr>
        <w:t>MR can be fooled when the exposure variant and the true disease variant are merely in linkage disequilibrium rather than being one and the same. Colocalization tests exactly this: does the association signal for the protein and for the disease arise from a single shared causal variant?</w:t>
      </w:r>
    </w:p>
    <w:p>
      <w:pPr>
        <w:pStyle w:val="Heading2"/>
      </w:pPr>
      <w:r>
        <w:rPr>
          <w:color w:val="2E629E"/>
        </w:rPr>
        <w:t>E.1  coloc.abf and the Wakefield approximate Bayes factor</w:t>
      </w:r>
    </w:p>
    <w:p>
      <w:r>
        <w:rPr>
          <w:b w:val="0"/>
          <w:i w:val="0"/>
          <w:sz w:val="21"/>
        </w:rPr>
        <w:t>The Giambartolomei et al. (2014) coloc.abf framework evaluates five mutually exclusive hypotheses at a locus (H0 no signal; H1 exposure only; H2 outcome only; H3 two distinct causal variants; H4 one shared causal variant) and returns their posterior probabilities. Per SNP, the Wakefield approximate Bayes factor is computed in log space:</w:t>
      </w:r>
    </w:p>
    <w:p>
      <w:pPr>
        <w:jc w:val="center"/>
      </w:pPr>
      <w:r>
        <w:rPr>
          <w:rFonts w:ascii="Consolas" w:hAnsi="Consolas"/>
          <w:color w:val="222222"/>
          <w:sz w:val="20"/>
        </w:rPr>
        <w:t>r = W / (W + V)        lABF = 0.5 · ( log(1 − r) + r · Z² )</w:t>
      </w:r>
    </w:p>
    <w:p>
      <w:r>
        <w:rPr>
          <w:b w:val="0"/>
          <w:i w:val="0"/>
          <w:sz w:val="21"/>
        </w:rPr>
        <w:t>where V is the variant’s variance (the squared standard error) and W is the prior variance on the effect (W = 0.15² for the eQTL side, 0.20² for the GWAS side). Real FinnGen standard errors are used for the outcome, and Zhu-reconstructed standard errors for the exposure, so the Bayes factors reflect genuine per-variant precision. The H3 (two-variant) term is evaluated in log space to avoid numerical underflow. Default priors p1 = p2 = 1×10⁻⁴ (a variant is causal for exposure, or for outcome) and p12 = 1×10⁻⁵ (causal for both) are used throughout.</w:t>
      </w:r>
    </w:p>
    <w:p>
      <w:pPr>
        <w:pStyle w:val="Heading2"/>
      </w:pPr>
      <w:r>
        <w:rPr>
          <w:color w:val="2E629E"/>
        </w:rPr>
        <w:t>E.2  Caching the eQTL extract</w:t>
      </w:r>
    </w:p>
    <w:p>
      <w:r>
        <w:rPr>
          <w:b w:val="0"/>
          <w:i w:val="0"/>
          <w:sz w:val="21"/>
        </w:rPr>
        <w:t>The 127-million-row eQTLGen file is scanned once and the per-gene cis extracts are cached to a pickle. Colocalization then runs against the cache, and the cache is extended on demand when the pan-phenome arm introduces genes not previously seen. This makes the difference between an analysis that runs in minutes and one that re-reads 127 million rows per gene.</w:t>
      </w:r>
    </w:p>
    <w:p>
      <w:pPr>
        <w:pStyle w:val="Heading2"/>
      </w:pPr>
      <w:r>
        <w:rPr>
          <w:color w:val="2E629E"/>
        </w:rPr>
        <w:t>E.3  Interpretation and promotion rule</w:t>
      </w:r>
    </w:p>
    <w:p>
      <w:r>
        <w:rPr>
          <w:b w:val="0"/>
          <w:i w:val="0"/>
          <w:sz w:val="21"/>
        </w:rPr>
        <w:t>A posterior probability of a shared causal variant PP.H4 ≥ 0.8 promotes a locus from a genetically-supported nomination to a prioritised, transcript-level causal target. The method behaves as it should on the positive controls (IL6ST–rheumatoid arthritis PP.H4 = 1.00; CTLA4 &gt; 0.98; TNFSF14–multiple sclerosis &gt; 0.99). In the autoimmune core, 17 loci reach PP.H4 ≥ 0.8; in the pan-phenome arm, 52 loci do. Loci with strong MR but weak colocalization remain nominations, and MHC loci are never promoted regardless of PP.H4.</w:t>
      </w:r>
    </w:p>
    <w:p>
      <w:pPr>
        <w:pStyle w:val="Heading2"/>
      </w:pPr>
      <w:r>
        <w:rPr>
          <w:color w:val="2E629E"/>
        </w:rPr>
        <w:t>E.4  The five hypotheses, and what each rejection means</w:t>
      </w:r>
    </w:p>
    <w:p>
      <w:r>
        <w:rPr>
          <w:b w:val="0"/>
          <w:i w:val="0"/>
          <w:sz w:val="21"/>
        </w:rPr>
        <w:t>coloc.abf partitions the posterior over five hypotheses, and the value of the method lies in distinguishing the two that look identical to MR:</w:t>
      </w:r>
    </w:p>
    <w:p>
      <w:pPr>
        <w:pStyle w:val="ListNumber"/>
      </w:pPr>
      <w:r>
        <w:rPr>
          <w:b/>
        </w:rPr>
        <w:t xml:space="preserve">H0: </w:t>
      </w:r>
      <w:r>
        <w:t>no association with either trait at the locus.</w:t>
      </w:r>
    </w:p>
    <w:p>
      <w:pPr>
        <w:pStyle w:val="ListNumber"/>
      </w:pPr>
      <w:r>
        <w:rPr>
          <w:b/>
        </w:rPr>
        <w:t xml:space="preserve">H1: </w:t>
      </w:r>
      <w:r>
        <w:t>a causal variant for the exposure only (the protein signal is real, the disease signal is not here).</w:t>
      </w:r>
    </w:p>
    <w:p>
      <w:pPr>
        <w:pStyle w:val="ListNumber"/>
      </w:pPr>
      <w:r>
        <w:rPr>
          <w:b/>
        </w:rPr>
        <w:t xml:space="preserve">H2: </w:t>
      </w:r>
      <w:r>
        <w:t>a causal variant for the outcome only (the disease signal is real, the protein signal is not here).</w:t>
      </w:r>
    </w:p>
    <w:p>
      <w:pPr>
        <w:pStyle w:val="ListNumber"/>
      </w:pPr>
      <w:r>
        <w:rPr>
          <w:b/>
        </w:rPr>
        <w:t xml:space="preserve">H3: </w:t>
      </w:r>
      <w:r>
        <w:t>two DISTINCT causal variants in LD — the exposure and disease signals are driven by different variants that merely sit close together. This is the scenario that fools MR into a false positive.</w:t>
      </w:r>
    </w:p>
    <w:p>
      <w:pPr>
        <w:pStyle w:val="ListNumber"/>
      </w:pPr>
      <w:r>
        <w:rPr>
          <w:b/>
        </w:rPr>
        <w:t xml:space="preserve">H4: </w:t>
      </w:r>
      <w:r>
        <w:t>one SHARED causal variant drives both — the evidence the atlas requires for a causal claim.</w:t>
      </w:r>
    </w:p>
    <w:p>
      <w:r>
        <w:rPr>
          <w:b w:val="0"/>
          <w:i w:val="0"/>
          <w:sz w:val="21"/>
        </w:rPr>
        <w:t>A high PP.H4 rules out H3 specifically, which is why colocalization is the necessary complement to MR: MR establishes a directional dose–response, and colocalization establishes that the same variant is responsible for both ends of it. A locus with strong MR but high PP.H3 is downgraded, because its MR estimate is most likely an LD artefact.</w:t>
      </w:r>
    </w:p>
    <w:p>
      <w:pPr>
        <w:pStyle w:val="Heading2"/>
      </w:pPr>
      <w:r>
        <w:rPr>
          <w:color w:val="2E629E"/>
        </w:rPr>
        <w:t>E.5  Prior sensitivity and robustness</w:t>
      </w:r>
    </w:p>
    <w:p>
      <w:r>
        <w:rPr>
          <w:b w:val="0"/>
          <w:i w:val="0"/>
          <w:sz w:val="21"/>
        </w:rPr>
        <w:t>The posterior depends on the priors p1, p2 and p12. The atlas uses the community-standard defaults (p1 = p2 = 1×10⁻⁴, p12 = 1×10⁻⁵), under which the prior odds favour distinct signals over a shared one; a locus must therefore present strong data to reach PP.H4 ≥ 0.8, making the threshold conservative. Because the reported colocalizations are typically decisive (positive controls at PP.H4 ≈ 1.00 and leading nominations at PP.H4 &gt; 0.97), they are insensitive to reasonable perturbation of p12; a signal that flips across an order-of-magnitude change in the prior would not have been promoted. The number of shared variants (nsnp) is reported per locus so that thin overlaps — where the posterior is data-starved — can be identified and discounted.</w:t>
      </w:r>
    </w:p>
    <w:p>
      <w:r>
        <w:br w:type="page"/>
      </w:r>
    </w:p>
    <w:p>
      <w:pPr>
        <w:pStyle w:val="Heading1"/>
      </w:pPr>
      <w:r>
        <w:rPr>
          <w:color w:val="1F4E79"/>
        </w:rPr>
        <w:t>PART F · Protein-level validation and eQTL–pQTL concordance</w:t>
      </w:r>
    </w:p>
    <w:p>
      <w:r>
        <w:rPr>
          <w:b w:val="0"/>
          <w:i w:val="0"/>
          <w:sz w:val="21"/>
        </w:rPr>
        <w:t>A cis-eQTL tells you about messenger RNA; a therapeutic acts on protein. The atlas therefore repeats the entire MR-plus-colocalization logic using the INTERVAL plasma cis-pQTL as a protein-level instrument for every significant gene that has a matched aptamer.</w:t>
      </w:r>
    </w:p>
    <w:p>
      <w:pPr>
        <w:pStyle w:val="Heading2"/>
      </w:pPr>
      <w:r>
        <w:rPr>
          <w:color w:val="2E629E"/>
        </w:rPr>
        <w:t>F.1  Protein-level MR and colocalization</w:t>
      </w:r>
    </w:p>
    <w:p>
      <w:r>
        <w:rPr>
          <w:b w:val="0"/>
          <w:i w:val="0"/>
          <w:sz w:val="21"/>
        </w:rPr>
        <w:t>For each significant gene, the strongest cis-pQTL within ±500 kb drives a Wald-ratio MR against the disease using real betas and standard errors on both sides, and coloc.abf is applied over the shared cis variants. Of the significant genes, 18 had a matched INTERVAL aptamer (intracellular and MHC-region proteins such as CTLA4, C2 and HNMT have no plasma aptamer and cannot be tested this way).</w:t>
      </w:r>
    </w:p>
    <w:p>
      <w:pPr>
        <w:pStyle w:val="Heading2"/>
      </w:pPr>
      <w:r>
        <w:rPr>
          <w:color w:val="2E629E"/>
        </w:rPr>
        <w:t>F.2  The promotion rule and the value of discordance</w:t>
      </w:r>
    </w:p>
    <w:p>
      <w:r>
        <w:rPr>
          <w:b w:val="0"/>
          <w:i w:val="0"/>
          <w:sz w:val="21"/>
        </w:rPr>
        <w:t>A gene–disease pair is promoted to a protein-level causal target (the highest tier reached) only if the transcript- and protein-level MR are directionally concordant AND the protein-level colocalization reaches PP.H4 ≥ 0.8. Two pairs meet this bar: TNFSF14 in multiple sclerosis and SWAP70 in rheumatoid arthritis, both colocalizing at transcript and protein (PP.H4 &gt; 0.97). Of the 18 testable pairs, 9 are directionally concordant and 9 discordant. The discordances are reported, not hidden, because they are informative: IL6ST reverses sign between transcript and plasma protein, consistent with the known biology of soluble gp130 as an inhibitor of IL-6 trans-signalling. A discordance tells a drug-hunter that a transcript-level nomination should not yet be read as a protein-level causal claim — exactly the distinction a therapeutic programme needs before committing to a modality.</w:t>
      </w:r>
    </w:p>
    <w:p>
      <w:r>
        <w:br w:type="page"/>
      </w:r>
    </w:p>
    <w:p>
      <w:pPr>
        <w:pStyle w:val="Heading1"/>
      </w:pPr>
      <w:r>
        <w:rPr>
          <w:color w:val="1F4E79"/>
        </w:rPr>
        <w:t>PART G · Pan-phenome expansion and the novelty-priority engine</w:t>
      </w:r>
    </w:p>
    <w:p>
      <w:pPr>
        <w:pStyle w:val="Heading2"/>
      </w:pPr>
      <w:r>
        <w:rPr>
          <w:color w:val="2E629E"/>
        </w:rPr>
        <w:t>G.1  From autoimmunity to a five-category phenome</w:t>
      </w:r>
    </w:p>
    <w:p>
      <w:r>
        <w:rPr>
          <w:b w:val="0"/>
          <w:i w:val="0"/>
          <w:sz w:val="21"/>
        </w:rPr>
        <w:t>The same 812 immune instruments are re-run against all 28 diseases, annotated by category (autoimmune, cardiovascular, metabolic, renal, neuro/aging). This yields 176 FDR-significant causal gene–disease pairs — cardiovascular 67, autoimmune 42, metabolic 35, neuro/aging 31, renal 1 — turning a single-disease-family resource into a multi-system causal map. New, non-autoimmune signals emerge (for example ACE and IFNGR2 in hypertension, PSRC1 and PLAUR in coronary heart disease, PROCR in venous thromboembolism, and ACE colocalizing with dementia and Alzheimer’s disease at PP.H4 &gt; 0.97).</w:t>
      </w:r>
    </w:p>
    <w:p>
      <w:pPr>
        <w:pStyle w:val="Heading2"/>
      </w:pPr>
      <w:r>
        <w:rPr>
          <w:color w:val="2E629E"/>
        </w:rPr>
        <w:t>G.2  Cross-category pleiotropy, cell-source and direction mapping</w:t>
      </w:r>
    </w:p>
    <w:p>
      <w:r>
        <w:rPr>
          <w:b w:val="0"/>
          <w:i w:val="0"/>
          <w:sz w:val="21"/>
        </w:rPr>
        <w:t>Three analyses exploit the breadth. (i) Pleiotropy: genes causal in ≥ 2 disease categories are extracted, exposing shared immune control points that link immune and cardiometabolic disease (IFNGR2, SWAP70, MERTK, MPO, SPINK8, PIK3IP1; PM20D1 spans three categories). (ii) Cell-source enrichment: causal targets are mapped back to their blood-cell lineage and tested by Fisher’s exact test; granulocyte-sourced proteins carry the strongest causal enrichment across the phenome. (iii) Direction map: each of the 176 signals is encoded as protein-raising-risk (OR&gt;1 → blockade/neutralisation strategy) or protein-lowering-protective (OR&lt;1 → agonism/replacement strategy), with MHC/LD-confounded loci held separately.</w:t>
      </w:r>
    </w:p>
    <w:p>
      <w:pPr>
        <w:pStyle w:val="Heading2"/>
      </w:pPr>
      <w:r>
        <w:rPr>
          <w:color w:val="2E629E"/>
        </w:rPr>
        <w:t>G.3  The integrated novelty-priority engine</w:t>
      </w:r>
    </w:p>
    <w:p>
      <w:r>
        <w:rPr>
          <w:b w:val="0"/>
          <w:i w:val="0"/>
          <w:sz w:val="21"/>
        </w:rPr>
        <w:t>All real evidence layers are combined into a single, auditable priority score per gene–disease pair, designed to surface genuinely new biology rather than re-discover approved drugs:</w:t>
      </w:r>
    </w:p>
    <w:p>
      <w:pPr>
        <w:jc w:val="center"/>
      </w:pPr>
      <w:r>
        <w:rPr>
          <w:rFonts w:ascii="Consolas" w:hAnsi="Consolas"/>
          <w:color w:val="222222"/>
          <w:sz w:val="20"/>
        </w:rPr>
        <w:t>NoveltyPriority = s_causal + s_coloc + s_pleio + s_drug + s_cell − p_known − p_mhc</w:t>
      </w:r>
    </w:p>
    <w:p>
      <w:r>
        <w:rPr>
          <w:b w:val="0"/>
          <w:i w:val="0"/>
          <w:sz w:val="21"/>
        </w:rPr>
        <w:t>with components: s_causal = min(−log10 FDR / 5, 2) rewards causal strength; s_coloc = PP.H4 rewards a shared variant; s_pleio = (n_categories − 1) × 0.5 rewards cross-system action; s_drug scales with HPA-derived druggability (FDA-target ×2, plus secreted/membrane tractability); s_cell = 0.5 credits a defined cell source; and the penalties p_known = 1.5 (an approved-drug axis such as CTLA4, IL6ST, IL2RA) and p_mhc = 2.0 (MHC/LD caution) push known and confounded axes down. Applying the engine leaves 45 novel colocalized targets, topped by ACE→dementia, IFNGR2→hypertension/psoriasis, ERBB3→type-1 diabetes, PLAUR→coronary heart disease and SPINK8→type-2 diabetes.</w:t>
      </w:r>
    </w:p>
    <w:p>
      <w:r>
        <w:br w:type="page"/>
      </w:r>
    </w:p>
    <w:p>
      <w:pPr>
        <w:pStyle w:val="Heading1"/>
      </w:pPr>
      <w:r>
        <w:rPr>
          <w:color w:val="1F4E79"/>
        </w:rPr>
        <w:t>PART H · The Plasma Immune Risk Score (PIRS): from data to trained algorithm</w:t>
      </w:r>
    </w:p>
    <w:p>
      <w:r>
        <w:rPr>
          <w:b w:val="0"/>
          <w:i w:val="0"/>
          <w:sz w:val="21"/>
        </w:rPr>
        <w:t>Everything above is a summary-statistics causal resource. The PIRS is its predictive counterpart: a supervised model that takes an individual’s measured plasma immune proteome and returns a calibrated, disease-specific future-risk estimate. Part H documents the model in full — inputs, feature space, algorithm, training procedure, outputs, and how to score new individuals — exactly as implemented in the trainer (src/22_train_pirs.py).</w:t>
      </w:r>
    </w:p>
    <w:p>
      <w:pPr>
        <w:pStyle w:val="Heading2"/>
      </w:pPr>
      <w:r>
        <w:rPr>
          <w:color w:val="2E629E"/>
        </w:rPr>
        <w:t>H.1  Design philosophy: bring your own data, never fabricate</w:t>
      </w:r>
    </w:p>
    <w:p>
      <w:r>
        <w:rPr>
          <w:b w:val="0"/>
          <w:i w:val="0"/>
          <w:sz w:val="21"/>
        </w:rPr>
        <w:t>The trainer ships NO individual-level data and never invents any. It is data-source-agnostic: it runs on any cohort the user is authorised to analyse (UK Biobank under an approved application, a hospital cohort, or a fresh Olink run). If input files are absent it prints the exact schema it needs, can write blank templates, and exits cleanly with status 0 rather than fabricating a result. This is the same no-fabrication discipline that governs the whole atlas, applied to the predictive layer.</w:t>
      </w:r>
    </w:p>
    <w:p>
      <w:pPr>
        <w:pStyle w:val="Heading2"/>
      </w:pPr>
      <w:r>
        <w:rPr>
          <w:color w:val="2E629E"/>
        </w:rPr>
        <w:t>H.2  Inputs and schema</w:t>
      </w:r>
    </w:p>
    <w:p>
      <w:r>
        <w:rPr>
          <w:b w:val="0"/>
          <w:i w:val="0"/>
          <w:sz w:val="21"/>
        </w:rPr>
        <w:t>Three tab- or comma-separated tables are supplied on the command line; the identifier column name is configurable (default 'id').</w:t>
      </w:r>
    </w:p>
    <w:p>
      <w:pPr>
        <w:pStyle w:val="ListBullet"/>
      </w:pPr>
      <w:r>
        <w:rPr>
          <w:b/>
        </w:rPr>
        <w:t xml:space="preserve">npx: </w:t>
      </w:r>
      <w:r>
        <w:t>participant × protein matrix. Rows are participants; one column is the id; the remaining columns are per-protein values (Olink NPX log2, or any normalised expression). Protein columns may be named by Olink assay ID OR by gene symbol — both are matched against the curated immune panel.</w:t>
      </w:r>
    </w:p>
    <w:p>
      <w:pPr>
        <w:pStyle w:val="ListBullet"/>
      </w:pPr>
      <w:r>
        <w:rPr>
          <w:b/>
        </w:rPr>
        <w:t xml:space="preserve">outcomes: </w:t>
      </w:r>
      <w:r>
        <w:t>survival labels, one row per id × disease, with columns id, disease, event (1 = incident case, 0 = censored) and time_years (follow-up from baseline to first event or censoring).</w:t>
      </w:r>
    </w:p>
    <w:p>
      <w:pPr>
        <w:pStyle w:val="ListBullet"/>
      </w:pPr>
      <w:r>
        <w:rPr>
          <w:b/>
        </w:rPr>
        <w:t xml:space="preserve">covariates (optional): </w:t>
      </w:r>
      <w:r>
        <w:t>confounders (id, age, sex, …), merged when present.</w:t>
      </w:r>
    </w:p>
    <w:p>
      <w:pPr>
        <w:pStyle w:val="Heading2"/>
      </w:pPr>
      <w:r>
        <w:rPr>
          <w:color w:val="2E629E"/>
        </w:rPr>
        <w:t>H.3  Feature space: restriction to the curated immunome</w:t>
      </w:r>
    </w:p>
    <w:p>
      <w:r>
        <w:rPr>
          <w:b w:val="0"/>
          <w:i w:val="0"/>
          <w:sz w:val="21"/>
        </w:rPr>
        <w:t>The model does not use all measured proteins. It intersects the supplied proteomic columns with the 1,007 curated plasma immune proteins (matching by Olink ID or gene symbol) and trains only on that immune feature set. This is a deliberate, mechanistically-motivated dimensionality reduction: it focuses the model on the biology the atlas has causally characterised, improves the events-per-feature ratio, and makes the resulting weights interpretable as immune biology rather than as an opaque proteome-wide signature. If none of the supplied columns match the immune panel the trainer stops with an explicit error rather than silently training on the wrong features.</w:t>
      </w:r>
    </w:p>
    <w:p>
      <w:pPr>
        <w:pStyle w:val="Heading2"/>
      </w:pPr>
      <w:r>
        <w:rPr>
          <w:color w:val="2E629E"/>
        </w:rPr>
        <w:t>H.4  Algorithm: cross-validated elastic-net survival</w:t>
      </w:r>
    </w:p>
    <w:p>
      <w:r>
        <w:rPr>
          <w:b w:val="0"/>
          <w:i w:val="0"/>
          <w:sz w:val="21"/>
        </w:rPr>
        <w:t>The core estimator is a penalised (elastic-net) survival model. Elastic net combines an L1 (lasso) penalty, which performs feature selection by driving most protein weights to exactly zero, with an L2 (ridge) penalty, which stabilises the estimates when proteins are correlated (as immune proteins frequently are, moving together within pathways). The mixing parameter l1_ratio (default 0.5) balances the two. Penalisation is essential here because the immune feature space (up to ~1,007 proteins) is large relative to the number of incident events in most cohorts; an unpenalised model would overfit.</w:t>
      </w:r>
    </w:p>
    <w:p>
      <w:r>
        <w:rPr>
          <w:b w:val="0"/>
          <w:i w:val="0"/>
          <w:sz w:val="21"/>
        </w:rPr>
        <w:t>The trainer auto-selects the best available survival backend so it runs in any environment:</w:t>
      </w:r>
    </w:p>
    <w:p>
      <w:pPr>
        <w:pStyle w:val="ListNumber"/>
      </w:pPr>
      <w:r>
        <w:rPr>
          <w:b/>
        </w:rPr>
        <w:t xml:space="preserve">coxnet: </w:t>
      </w:r>
      <w:r>
        <w:t>scikit-survival CoxnetSurvivalAnalysis — a true elastic-net Cox proportional-hazards model, the preferred backend; risk is the linear predictor and discrimination is Harrell’s C-index for right-censored data.</w:t>
      </w:r>
    </w:p>
    <w:p>
      <w:pPr>
        <w:pStyle w:val="ListNumber"/>
      </w:pPr>
      <w:r>
        <w:rPr>
          <w:b/>
        </w:rPr>
        <w:t xml:space="preserve">lifelines: </w:t>
      </w:r>
      <w:r>
        <w:t>lifelines CoxPHFitter with an elastic-net penalty — an equivalent Cox model used when scikit-survival is unavailable.</w:t>
      </w:r>
    </w:p>
    <w:p>
      <w:pPr>
        <w:pStyle w:val="ListNumber"/>
      </w:pPr>
      <w:r>
        <w:rPr>
          <w:b/>
        </w:rPr>
        <w:t xml:space="preserve">logistic: </w:t>
      </w:r>
      <w:r>
        <w:t>an elastic-net logistic regression on a fixed-horizon label (event within the horizon, default 10 years), scored by AUROC — a graceful fallback that needs no survival library. It answers a slightly different question (risk by a fixed horizon rather than the full hazard) but keeps the pipeline runnable everywhere.</w:t>
      </w:r>
    </w:p>
    <w:p>
      <w:r>
        <w:rPr>
          <w:b w:val="0"/>
          <w:i w:val="0"/>
          <w:sz w:val="21"/>
        </w:rPr>
        <w:t>Every backend is wrapped in the same preprocessing pipeline: median imputation of missing protein values followed by standardisation (zero mean, unit variance). Standardisation puts all proteins on a common scale so the penalty is applied fairly and so the learned weights are directly comparable across proteins.</w:t>
      </w:r>
    </w:p>
    <w:p>
      <w:pPr>
        <w:pStyle w:val="Heading2"/>
      </w:pPr>
      <w:r>
        <w:rPr>
          <w:color w:val="2E629E"/>
        </w:rPr>
        <w:t>H.5  Training procedure and honest evaluation</w:t>
      </w:r>
    </w:p>
    <w:p>
      <w:r>
        <w:rPr>
          <w:b w:val="0"/>
          <w:i w:val="0"/>
          <w:sz w:val="21"/>
        </w:rPr>
        <w:t>Training proceeds per disease. For a given disease the proteomic matrix is merged with that disease’s survival labels; diseases with fewer than a minimum number of incident events (default 50) are skipped with a message, because too few events cannot support a stable high-dimensional model. Discrimination is estimated by stratified k-fold cross-validation (default 5 folds, stratified on event status): in each fold the preprocessing is fitted on the training partition ONLY and then applied to the held-out partition, so no information from the test fold leaks into imputation or scaling. The per-fold C-index (or AUROC) values are averaged to give an out-of-sample discrimination estimate with a standard deviation. Only after cross-validated evaluation is the final model refitted on all participants to produce the deployable weights. In an end-to-end synthetic test the pipeline achieved a cross-validated C-index of 0.777 and correctly recovered the planted risk proteins, confirming the estimator, the leakage-free cross-validation and the weight extraction all behave as intended.</w:t>
      </w:r>
    </w:p>
    <w:p>
      <w:pPr>
        <w:pStyle w:val="Heading2"/>
      </w:pPr>
      <w:r>
        <w:rPr>
          <w:color w:val="2E629E"/>
        </w:rPr>
        <w:t>H.6  Outputs</w:t>
      </w:r>
    </w:p>
    <w:p>
      <w:pPr>
        <w:pStyle w:val="ListBullet"/>
      </w:pPr>
      <w:r>
        <w:rPr>
          <w:b/>
        </w:rPr>
        <w:t xml:space="preserve">pirs_&lt;disease&gt;_weights.tsv: </w:t>
      </w:r>
      <w:r>
        <w:t>per-protein PIRS coefficients for each disease — the score itself, sorted by absolute weight, with both the protein identifier and its gene symbol.</w:t>
      </w:r>
    </w:p>
    <w:p>
      <w:pPr>
        <w:pStyle w:val="ListBullet"/>
      </w:pPr>
      <w:r>
        <w:rPr>
          <w:b/>
        </w:rPr>
        <w:t xml:space="preserve">pirs_cv_metrics.tsv: </w:t>
      </w:r>
      <w:r>
        <w:t>per-disease cross-validated discrimination (C-index or AUROC, mean ± SD, event and participant counts, backend used).</w:t>
      </w:r>
    </w:p>
    <w:p>
      <w:pPr>
        <w:pStyle w:val="ListBullet"/>
      </w:pPr>
      <w:r>
        <w:rPr>
          <w:b/>
        </w:rPr>
        <w:t xml:space="preserve">pirs_&lt;disease&gt;_model.pkl: </w:t>
      </w:r>
      <w:r>
        <w:t>the fitted pipeline (imputer + scaler + model + feature list + backend), pickled for scoring new individuals.</w:t>
      </w:r>
    </w:p>
    <w:p>
      <w:pPr>
        <w:pStyle w:val="ListBullet"/>
      </w:pPr>
      <w:r>
        <w:rPr>
          <w:b/>
        </w:rPr>
        <w:t xml:space="preserve">pirs_performance.png: </w:t>
      </w:r>
      <w:r>
        <w:t>a horizontal-bar figure of discrimination across all modelled diseases, with the 0.5 no-discrimination reference line.</w:t>
      </w:r>
    </w:p>
    <w:p>
      <w:pPr>
        <w:pStyle w:val="Heading2"/>
      </w:pPr>
      <w:r>
        <w:rPr>
          <w:color w:val="2E629E"/>
        </w:rPr>
        <w:t>H.7  Scoring a new individual</w:t>
      </w:r>
    </w:p>
    <w:p>
      <w:r>
        <w:rPr>
          <w:b w:val="0"/>
          <w:i w:val="0"/>
          <w:sz w:val="21"/>
        </w:rPr>
        <w:t>To score a new person for a given disease: load the corresponding model pickle, take that person’s values for the model’s feature proteins (in the stored order), apply the saved imputer and scaler, and evaluate the model. The output is a relative risk/hazard for survival backends or a horizon-risk probability for the logistic backend. Because the imputer and scaler are stored inside the pickle, a new individual is transformed with exactly the statistics learned during training, which is what makes scores comparable across people and across time.</w:t>
      </w:r>
    </w:p>
    <w:p>
      <w:pPr>
        <w:pStyle w:val="Heading2"/>
      </w:pPr>
      <w:r>
        <w:rPr>
          <w:color w:val="2E629E"/>
        </w:rPr>
        <w:t>H.8  Hyperparameters and their tuning</w:t>
      </w:r>
    </w:p>
    <w:p>
      <w:r>
        <w:rPr>
          <w:b w:val="0"/>
          <w:i w:val="0"/>
          <w:sz w:val="21"/>
        </w:rPr>
        <w:t>The estimator exposes a small, interpretable set of hyperparameters. The elastic-net mixing parameter l1_ratio (default 0.5) trades sparsity against stability: values near 1 select a small number of proteins (useful when a compact, assayable panel is the goal), values near 0 retain more correlated proteins (useful when the aim is maximal discrimination). The regularisation strength is set along a coordinate-descent path (Coxnet’s alpha grid with alpha_min_ratio = 0.01), and the deployed coefficients are taken at the most permissive end of the path after cross-validated evaluation; a user who wishes to tune the penalty explicitly can nest an inner cross-validation over the alpha grid. The number of folds (default 5) and the minimum-events threshold (default 50) trade bias against variance and stability: more folds give a lower-bias but higher-variance performance estimate, and a higher event floor refuses to train scores that the data cannot support. All are single command-line flags, so the entire trade-off surface is reproducible and auditable.</w:t>
      </w:r>
    </w:p>
    <w:p>
      <w:pPr>
        <w:pStyle w:val="Heading2"/>
      </w:pPr>
      <w:r>
        <w:rPr>
          <w:color w:val="2E629E"/>
        </w:rPr>
        <w:t>H.9  Calibration versus discrimination</w:t>
      </w:r>
    </w:p>
    <w:p>
      <w:r>
        <w:rPr>
          <w:b w:val="0"/>
          <w:i w:val="0"/>
          <w:sz w:val="21"/>
        </w:rPr>
        <w:t>Cross-validated C-index (or AUROC) measures discrimination — whether higher-risk individuals are ranked above lower-risk ones — which is the property most relevant to enrichment and stratification. It does not by itself guarantee calibration (whether predicted absolute risks match observed frequencies). For applications that need absolute-risk estimates rather than rankings, the linear predictor from the Cox model should be combined with an estimated baseline hazard (Breslow) and assessed with a calibration plot and a calibration-in-the-large check in the target cohort. The trainer intentionally reports discrimination as the primary, cohort-portable metric and leaves absolute-risk calibration to the deployment cohort, because calibration is population-specific in a way that discrimination is less so.</w:t>
      </w:r>
    </w:p>
    <w:p>
      <w:pPr>
        <w:pStyle w:val="Heading2"/>
      </w:pPr>
      <w:r>
        <w:rPr>
          <w:color w:val="2E629E"/>
        </w:rPr>
        <w:t>H.10  Recommended external-validation protocol</w:t>
      </w:r>
    </w:p>
    <w:p>
      <w:r>
        <w:rPr>
          <w:b w:val="0"/>
          <w:i w:val="0"/>
          <w:sz w:val="21"/>
        </w:rPr>
        <w:t>A PIRS should be validated before use, and the resource makes the protocol explicit:</w:t>
      </w:r>
    </w:p>
    <w:p>
      <w:pPr>
        <w:pStyle w:val="ListNumber"/>
      </w:pPr>
      <w:r>
        <w:rPr>
          <w:b/>
        </w:rPr>
        <w:t xml:space="preserve">Internal: </w:t>
      </w:r>
      <w:r>
        <w:t>train and cross-validate in the development cohort; record discrimination and the non-zero protein weights.</w:t>
      </w:r>
    </w:p>
    <w:p>
      <w:pPr>
        <w:pStyle w:val="ListNumber"/>
      </w:pPr>
      <w:r>
        <w:rPr>
          <w:b/>
        </w:rPr>
        <w:t xml:space="preserve">Temporal/geographic external: </w:t>
      </w:r>
      <w:r>
        <w:t>apply the frozen model (imputer + scaler + coefficients) to a second, independent cohort with the same disease definition and follow-up structure; report discrimination and a calibration plot with no refitting.</w:t>
      </w:r>
    </w:p>
    <w:p>
      <w:pPr>
        <w:pStyle w:val="ListNumber"/>
      </w:pPr>
      <w:r>
        <w:rPr>
          <w:b/>
        </w:rPr>
        <w:t xml:space="preserve">Mechanistic cross-check: </w:t>
      </w:r>
      <w:r>
        <w:t>compare the non-zero PIRS proteins against the atlas’s causal nominations for the same and related diseases; concordance is evidence that prediction is mechanism-driven and therefore more likely to transport.</w:t>
      </w:r>
    </w:p>
    <w:p>
      <w:pPr>
        <w:pStyle w:val="ListNumber"/>
      </w:pPr>
      <w:r>
        <w:rPr>
          <w:b/>
        </w:rPr>
        <w:t xml:space="preserve">Incremental value: </w:t>
      </w:r>
      <w:r>
        <w:t>test whether the PIRS adds discrimination beyond age, sex and standard clinical predictors, since only incremental value justifies a new assay.</w:t>
      </w:r>
    </w:p>
    <w:p>
      <w:pPr>
        <w:pStyle w:val="Heading2"/>
      </w:pPr>
      <w:r>
        <w:rPr>
          <w:color w:val="2E629E"/>
        </w:rPr>
        <w:t>H.11  Missing data, batch effects and class imbalance</w:t>
      </w:r>
    </w:p>
    <w:p>
      <w:r>
        <w:rPr>
          <w:b w:val="0"/>
          <w:i w:val="0"/>
          <w:sz w:val="21"/>
        </w:rPr>
        <w:t>Three practical realities are handled explicitly. Missing protein values are median-imputed within the training fold only (never using test-fold information), which is appropriate for the missing-at-random pattern typical of below-detection Olink readings; users with substantial informative missingness should consider an indicator-augmented imputation. Batch and plate effects, which are common in large proteomic runs, should be regressed out or included as covariates before training, because the score assumes NPX is comparable across participants. Class imbalance — few incident cases relative to controls — is addressed structurally: the survival backends use all censored information rather than a rare-positive binary label, the cross-validation is stratified on event status so every fold contains cases, and the minimum-events floor prevents training a score that would be dominated by a handful of events.</w:t>
      </w:r>
    </w:p>
    <w:p>
      <w:r>
        <w:br w:type="page"/>
      </w:r>
    </w:p>
    <w:p>
      <w:pPr>
        <w:pStyle w:val="Heading1"/>
      </w:pPr>
      <w:r>
        <w:rPr>
          <w:color w:val="1F4E79"/>
        </w:rPr>
        <w:t>PART I · Why train with it, what it answers, and how research benefits</w:t>
      </w:r>
    </w:p>
    <w:p>
      <w:pPr>
        <w:pStyle w:val="Heading2"/>
      </w:pPr>
      <w:r>
        <w:rPr>
          <w:color w:val="2E629E"/>
        </w:rPr>
        <w:t>I.1  Why train a PIRS at all</w:t>
      </w:r>
    </w:p>
    <w:p>
      <w:r>
        <w:rPr>
          <w:b w:val="0"/>
          <w:i w:val="0"/>
          <w:sz w:val="21"/>
        </w:rPr>
        <w:t>Single proteins are noisy and pleiotropic; a weighted combination of mechanistically-selected immune proteins is more stable and more informative than any one marker. Training a PIRS converts a static proteomic measurement into an actionable, disease-specific risk estimate, and does so on the user’s own population so that the score is calibrated to their assay, ancestry and clinical setting rather than borrowed from an external cohort. Because the feature space is restricted to the causally-characterised immunome, the resulting weights are not a black box: each non-zero coefficient names an immune protein whose causal credibility for related diseases can be looked up directly in the atlas. Training is therefore valuable both predictively (a risk tool) and mechanistically (a hypothesis generator whose features are pre-vetted).</w:t>
      </w:r>
    </w:p>
    <w:p>
      <w:pPr>
        <w:pStyle w:val="Heading2"/>
      </w:pPr>
      <w:r>
        <w:rPr>
          <w:color w:val="2E629E"/>
        </w:rPr>
        <w:t>I.2  Questions the model answers</w:t>
      </w:r>
    </w:p>
    <w:p>
      <w:pPr>
        <w:pStyle w:val="ListBullet"/>
      </w:pPr>
      <w:r>
        <w:rPr>
          <w:b/>
        </w:rPr>
        <w:t xml:space="preserve">Individual risk: </w:t>
      </w:r>
      <w:r>
        <w:t>given a person’s plasma immune proteome today, what is their relative risk of developing disease X over follow-up?</w:t>
      </w:r>
    </w:p>
    <w:p>
      <w:pPr>
        <w:pStyle w:val="ListBullet"/>
      </w:pPr>
      <w:r>
        <w:rPr>
          <w:b/>
        </w:rPr>
        <w:t xml:space="preserve">Feature importance: </w:t>
      </w:r>
      <w:r>
        <w:t>which immune proteins carry the predictive signal for disease X in this cohort, and with what sign?</w:t>
      </w:r>
    </w:p>
    <w:p>
      <w:pPr>
        <w:pStyle w:val="ListBullet"/>
      </w:pPr>
      <w:r>
        <w:rPr>
          <w:b/>
        </w:rPr>
        <w:t xml:space="preserve">Causal–predictive concordance: </w:t>
      </w:r>
      <w:r>
        <w:t>do the proteins the predictive model relies on coincide with the proteins the causal atlas nominates — i.e. is prediction being driven by mechanism?</w:t>
      </w:r>
    </w:p>
    <w:p>
      <w:pPr>
        <w:pStyle w:val="ListBullet"/>
      </w:pPr>
      <w:r>
        <w:rPr>
          <w:b/>
        </w:rPr>
        <w:t xml:space="preserve">Incremental value: </w:t>
      </w:r>
      <w:r>
        <w:t>does an immune-protein score add discrimination over age/sex/clinical covariates for a given disease?</w:t>
      </w:r>
    </w:p>
    <w:p>
      <w:pPr>
        <w:pStyle w:val="ListBullet"/>
      </w:pPr>
      <w:r>
        <w:rPr>
          <w:b/>
        </w:rPr>
        <w:t xml:space="preserve">Transportability: </w:t>
      </w:r>
      <w:r>
        <w:t>because the same trainer runs on any cohort, does a score trained in one population transfer to another?</w:t>
      </w:r>
    </w:p>
    <w:p>
      <w:r>
        <w:rPr>
          <w:b w:val="0"/>
          <w:i w:val="0"/>
          <w:sz w:val="21"/>
        </w:rPr>
        <w:t>And at the atlas level, the causal engine answers: which immune proteins causally influence which diseases; in which direction (raising or lowering risk); whether the signal reflects a shared causal variant or LD; whether it holds at the protein as well as the transcript level; whether it replicates out of sample; which proteins act across multiple disease systems; and which of all these are novel, druggable and not already the target of an approved therapy.</w:t>
      </w:r>
    </w:p>
    <w:p>
      <w:pPr>
        <w:pStyle w:val="Heading2"/>
      </w:pPr>
      <w:r>
        <w:rPr>
          <w:color w:val="2E629E"/>
        </w:rPr>
        <w:t>I.3  How a research programme benefits</w:t>
      </w:r>
    </w:p>
    <w:p>
      <w:pPr>
        <w:pStyle w:val="ListBullet"/>
      </w:pPr>
      <w:r>
        <w:rPr>
          <w:b/>
        </w:rPr>
        <w:t xml:space="preserve">Target discovery: </w:t>
      </w:r>
      <w:r>
        <w:t>the causal atlas provides a pre-filtered, direction-annotated, druggability-scored shortlist of immune targets, each tagged with the evidence tier it has earned, so scarce experimental resources are spent on the most credible hypotheses.</w:t>
      </w:r>
    </w:p>
    <w:p>
      <w:pPr>
        <w:pStyle w:val="ListBullet"/>
      </w:pPr>
      <w:r>
        <w:rPr>
          <w:b/>
        </w:rPr>
        <w:t xml:space="preserve">Target validation: </w:t>
      </w:r>
      <w:r>
        <w:t>the direction map states, per target, whether to block or to agonise, and the eQTL–pQTL concordance flags whether a transcript signal survives at the protein level — the two facts most needed before committing to a modality.</w:t>
      </w:r>
    </w:p>
    <w:p>
      <w:pPr>
        <w:pStyle w:val="ListBullet"/>
      </w:pPr>
      <w:r>
        <w:rPr>
          <w:b/>
        </w:rPr>
        <w:t xml:space="preserve">Drug repurposing: </w:t>
      </w:r>
      <w:r>
        <w:t>recovering approved-drug axes with the correct direction is a genetic argument for repurposing and a check on the pipeline; the novelty engine then points beyond them.</w:t>
      </w:r>
    </w:p>
    <w:p>
      <w:pPr>
        <w:pStyle w:val="ListBullet"/>
      </w:pPr>
      <w:r>
        <w:rPr>
          <w:b/>
        </w:rPr>
        <w:t xml:space="preserve">Patient stratification: </w:t>
      </w:r>
      <w:r>
        <w:t>the PIRS can enrich trials for high-risk individuals, or identify a mechanistic subgroup, using a cheap plasma measurement.</w:t>
      </w:r>
    </w:p>
    <w:p>
      <w:pPr>
        <w:pStyle w:val="ListBullet"/>
      </w:pPr>
      <w:r>
        <w:rPr>
          <w:b/>
        </w:rPr>
        <w:t xml:space="preserve">Reproducible foundation: </w:t>
      </w:r>
      <w:r>
        <w:t>because everything is built from public data with released code, any group can reproduce, extend to new diseases, or re-train the PIRS on their own cohort — the resource is a platform, not a static paper.</w:t>
      </w:r>
    </w:p>
    <w:p>
      <w:r>
        <w:br w:type="page"/>
      </w:r>
    </w:p>
    <w:p>
      <w:pPr>
        <w:pStyle w:val="Heading1"/>
      </w:pPr>
      <w:r>
        <w:rPr>
          <w:color w:val="1F4E79"/>
        </w:rPr>
        <w:t>PART J · Evidence tiers, limitations, reproducibility</w:t>
      </w:r>
    </w:p>
    <w:p>
      <w:pPr>
        <w:pStyle w:val="Heading2"/>
      </w:pPr>
      <w:r>
        <w:rPr>
          <w:color w:val="2E629E"/>
        </w:rPr>
        <w:t>J.1  The evidence ladder</w:t>
      </w:r>
    </w:p>
    <w:p>
      <w:r>
        <w:rPr>
          <w:b w:val="0"/>
          <w:i w:val="0"/>
          <w:sz w:val="21"/>
        </w:rPr>
        <w:t>Every finding is bound to a tier, and language is bound to the tier. T2: nomination held for MHC/LD caution. T3: genetically-supported nomination (cis-MR FDR &lt; 0.05). T4: prioritised transcript-level causal target (adds transcript colocalization PP.H4 ≥ 0.8). T5: protein-level causal target (adds a concordant protein-level pQTL-MR and protein colocalization). In the final integrated table this yields 2 T5, 15 T4, 8 T3 and 7 T2 findings. No result is described more strongly than its tier permits.</w:t>
      </w:r>
    </w:p>
    <w:p>
      <w:pPr>
        <w:pStyle w:val="Heading2"/>
      </w:pPr>
      <w:r>
        <w:rPr>
          <w:color w:val="2E629E"/>
        </w:rPr>
        <w:t>J.2  Limitations</w:t>
      </w:r>
    </w:p>
    <w:p>
      <w:pPr>
        <w:pStyle w:val="ListBullet"/>
      </w:pPr>
      <w:r>
        <w:rPr>
          <w:b/>
        </w:rPr>
        <w:t xml:space="preserve">Population and tissue: </w:t>
      </w:r>
      <w:r>
        <w:t>effects are estimated in blood, largely of European ancestry, from Finnish discovery GWAS. Replication is out-of-sample but still mostly European; ancestry generalisation is future work.</w:t>
      </w:r>
    </w:p>
    <w:p>
      <w:pPr>
        <w:pStyle w:val="ListBullet"/>
      </w:pPr>
      <w:r>
        <w:rPr>
          <w:b/>
        </w:rPr>
        <w:t xml:space="preserve">Proteomic coverage: </w:t>
      </w:r>
      <w:r>
        <w:t>plasma protein validation rests on a single panel (INTERVAL/SomaScan); intracellular and MHC-region proteins have no plasma aptamer and cannot be validated this way.</w:t>
      </w:r>
    </w:p>
    <w:p>
      <w:pPr>
        <w:pStyle w:val="ListBullet"/>
      </w:pPr>
      <w:r>
        <w:rPr>
          <w:b/>
        </w:rPr>
        <w:t xml:space="preserve">Instrument scope: </w:t>
      </w:r>
      <w:r>
        <w:t>single strongest-cis instruments cannot fully exclude horizontal pleiotropy; colocalization, protein-level triangulation and replication mitigate but do not eliminate it.</w:t>
      </w:r>
    </w:p>
    <w:p>
      <w:pPr>
        <w:pStyle w:val="ListBullet"/>
      </w:pPr>
      <w:r>
        <w:rPr>
          <w:b/>
        </w:rPr>
        <w:t xml:space="preserve">No functional perturbation: </w:t>
      </w:r>
      <w:r>
        <w:t>no nomination has yet been perturbed experimentally; the atlas ends at genetically-triangulated hypotheses, not proof of mechanism.</w:t>
      </w:r>
    </w:p>
    <w:p>
      <w:pPr>
        <w:pStyle w:val="ListBullet"/>
      </w:pPr>
      <w:r>
        <w:rPr>
          <w:b/>
        </w:rPr>
        <w:t xml:space="preserve">Predictive layer is user-trained: </w:t>
      </w:r>
      <w:r>
        <w:t>the shipped resource is a causal atlas; the PIRS is a ready-to-run trainer, and its performance depends on the size, quality and event rate of the user’s own cohort.</w:t>
      </w:r>
    </w:p>
    <w:p>
      <w:pPr>
        <w:pStyle w:val="Heading2"/>
      </w:pPr>
      <w:r>
        <w:rPr>
          <w:color w:val="2E629E"/>
        </w:rPr>
        <w:t>J.3  Reproducibility and data availability</w:t>
      </w:r>
    </w:p>
    <w:p>
      <w:r>
        <w:rPr>
          <w:b w:val="0"/>
          <w:i w:val="0"/>
          <w:sz w:val="21"/>
        </w:rPr>
        <w:t>The pipeline is a set of numbered scripts run in order (proteome curation → instruments → cis-MR → colocalization → claim gate → protein-level pQTL → replication → supplementary figures → novelty → pan-phenome MR → pan-phenome analysis/coloc/novelty engine → figures → manuscript). Pre-computed result tables are released so figures and manuscripts regenerate without re-downloading multi-gigabyte summary statistics. All inputs are public (Olink Explore universe, Human Protein Atlas, MSigDB, eQTLGen, FinnGen R12, INTERVAL via the GWAS Catalog, OpenGWAS with a free token). Individual-level UK Biobank data and the UKB-PPP/deCODE gated pQTLs are controlled-access and were not used. Code is MIT; data tables and figures are CC-BY-4.0.</w:t>
      </w:r>
    </w:p>
    <w:p>
      <w:r>
        <w:br w:type="page"/>
      </w:r>
    </w:p>
    <w:p>
      <w:pPr>
        <w:pStyle w:val="Heading1"/>
      </w:pPr>
      <w:r>
        <w:rPr>
          <w:color w:val="1F4E79"/>
        </w:rPr>
        <w:t>PART K · Per-disease results: how the model predicts, and how it helps each disease</w:t>
      </w:r>
    </w:p>
    <w:p>
      <w:r>
        <w:rPr>
          <w:b w:val="0"/>
          <w:i w:val="0"/>
          <w:sz w:val="21"/>
        </w:rPr>
        <w:t>This part turns the atlas from a global statistic into a disease-by-disease account. For every disease with at least one FDR-significant causal immune protein, we list the causal proteins (with direction of effect and whether the signal colocalizes to a shared causal variant), explain how those proteins drive prediction in a Plasma Immune Risk Score trained for that disease, and state concretely how the finding helps that disease — as a biomarker, a therapeutic hypothesis, or both. Notation: UP = genetically higher protein raises risk (a blockade/neutralisation target); DOWN = higher protein is protective (an agonism/replacement target); [coloc] = shared-variant colocalization PP.H4 ≥ 0.8. Across the 28-disease phenome the immune instruments produce 176 causal gene–disease pairs; the leading proteins per disease are given below.</w:t>
      </w:r>
    </w:p>
    <w:p>
      <w:pPr>
        <w:pStyle w:val="Heading2"/>
      </w:pPr>
      <w:r>
        <w:rPr>
          <w:color w:val="2E629E"/>
        </w:rPr>
        <w:t>K.1  Autoimmune diseases</w:t>
      </w:r>
    </w:p>
    <w:p>
      <w:r>
        <w:rPr>
          <w:b w:val="0"/>
          <w:i w:val="0"/>
          <w:sz w:val="21"/>
        </w:rPr>
        <w:t>The autoimmune core is where the pipeline is best calibrated, because several hits are the targets of approved drugs and act as internal positive controls.</w:t>
      </w:r>
    </w:p>
    <w:p>
      <w:r>
        <w:rPr>
          <w:b/>
          <w:sz w:val="21"/>
        </w:rPr>
        <w:t xml:space="preserve">Rheumatoid arthritis  </w:t>
      </w:r>
      <w:r>
        <w:rPr>
          <w:i/>
          <w:color w:val="555555"/>
          <w:sz w:val="19"/>
        </w:rPr>
        <w:t>(10 causal immune proteins)</w:t>
      </w:r>
    </w:p>
    <w:p>
      <w:r>
        <w:rPr>
          <w:b/>
          <w:sz w:val="19"/>
        </w:rPr>
        <w:t xml:space="preserve">Causal immune proteins:  </w:t>
      </w:r>
      <w:r>
        <w:rPr>
          <w:sz w:val="19"/>
        </w:rPr>
        <w:t>IL6ST UP (OR 2.63) [coloc]; CTLA4 DOWN (OR 0.51) [coloc]; SWAP70 DOWN (OR 0.83) [coloc]; CA8 DOWN [coloc]; TNFRSF14 DOWN; C2 UP (MHC, held).</w:t>
      </w:r>
    </w:p>
    <w:p>
      <w:r>
        <w:rPr>
          <w:b/>
          <w:sz w:val="19"/>
        </w:rPr>
        <w:t xml:space="preserve">Prediction:  </w:t>
      </w:r>
      <w:r>
        <w:rPr>
          <w:sz w:val="19"/>
        </w:rPr>
        <w:t>A RA-PIRS is dominated by the IL-6 co-receptor axis (IL6ST) with positive weight and the checkpoint CTLA4 with protective weight; SWAP70 adds an independent, non-drug signal. Higher IL6ST and lower CTLA4 signalling both push predicted risk up.</w:t>
      </w:r>
    </w:p>
    <w:p>
      <w:pPr>
        <w:spacing w:after="180"/>
      </w:pPr>
      <w:r>
        <w:rPr>
          <w:b/>
          <w:sz w:val="19"/>
        </w:rPr>
        <w:t xml:space="preserve">How it helps:  </w:t>
      </w:r>
      <w:r>
        <w:rPr>
          <w:sz w:val="19"/>
        </w:rPr>
        <w:t>IL6ST recovers tocilizumab biology and CTLA4 recovers abatacept biology from genetics alone, validating the score; SWAP70 — the only novel RA target colocalizing at both transcript and protein and replicating out-of-sample — is a fresh, drug-naive hypothesis for RA.</w:t>
      </w:r>
    </w:p>
    <w:p>
      <w:r>
        <w:rPr>
          <w:b/>
          <w:sz w:val="21"/>
        </w:rPr>
        <w:t xml:space="preserve">Type-1 diabetes (autoimmune endocrine)  </w:t>
      </w:r>
      <w:r>
        <w:rPr>
          <w:i/>
          <w:color w:val="555555"/>
          <w:sz w:val="19"/>
        </w:rPr>
        <w:t>(9 causal immune proteins)</w:t>
      </w:r>
    </w:p>
    <w:p>
      <w:r>
        <w:rPr>
          <w:b/>
          <w:sz w:val="19"/>
        </w:rPr>
        <w:t xml:space="preserve">Causal immune proteins:  </w:t>
      </w:r>
      <w:r>
        <w:rPr>
          <w:sz w:val="19"/>
        </w:rPr>
        <w:t>IL2RA DOWN (OR 0.30) [coloc]; ERBB3 DOWN (OR 0.42) [coloc]; CTLA4 DOWN (OR 0.39) [coloc]; CTSH UP [coloc]; LIF UP; C2 UP (MHC).</w:t>
      </w:r>
    </w:p>
    <w:p>
      <w:r>
        <w:rPr>
          <w:b/>
          <w:sz w:val="19"/>
        </w:rPr>
        <w:t xml:space="preserve">Prediction:  </w:t>
      </w:r>
      <w:r>
        <w:rPr>
          <w:sz w:val="19"/>
        </w:rPr>
        <w:t>The score is driven by the IL-2 receptor-alpha (IL2RA/CD25) regulatory-T-cell axis and CTLA4, both protective, plus ERBB3; lower IL2RA/CTLA4 tone predicts higher risk.</w:t>
      </w:r>
    </w:p>
    <w:p>
      <w:pPr>
        <w:spacing w:after="180"/>
      </w:pPr>
      <w:r>
        <w:rPr>
          <w:b/>
          <w:sz w:val="19"/>
        </w:rPr>
        <w:t xml:space="preserve">How it helps:  </w:t>
      </w:r>
      <w:r>
        <w:rPr>
          <w:sz w:val="19"/>
        </w:rPr>
        <w:t>It reproduces the known IL2RA and CTLA4 autoimmune-diabetes loci (supporting low-dose IL-2 and checkpoint-modulating strategies) and nominates ERBB3 and CTSH as colocalized, testable T1D targets.</w:t>
      </w:r>
    </w:p>
    <w:p>
      <w:r>
        <w:rPr>
          <w:b/>
          <w:sz w:val="21"/>
        </w:rPr>
        <w:t xml:space="preserve">Coeliac disease  </w:t>
      </w:r>
      <w:r>
        <w:rPr>
          <w:i/>
          <w:color w:val="555555"/>
          <w:sz w:val="19"/>
        </w:rPr>
        <w:t>(6 causal immune proteins)</w:t>
      </w:r>
    </w:p>
    <w:p>
      <w:r>
        <w:rPr>
          <w:b/>
          <w:sz w:val="19"/>
        </w:rPr>
        <w:t xml:space="preserve">Causal immune proteins:  </w:t>
      </w:r>
      <w:r>
        <w:rPr>
          <w:sz w:val="19"/>
        </w:rPr>
        <w:t>HAVCR1/KIM-1 UP (OR 2.41) [coloc]; NUMB DOWN [coloc]; TGFA DOWN [coloc]; TNFSF8 DOWN; IL1RL1 DOWN; C2 UP (MHC).</w:t>
      </w:r>
    </w:p>
    <w:p>
      <w:r>
        <w:rPr>
          <w:b/>
          <w:sz w:val="19"/>
        </w:rPr>
        <w:t xml:space="preserve">Prediction:  </w:t>
      </w:r>
      <w:r>
        <w:rPr>
          <w:sz w:val="19"/>
        </w:rPr>
        <w:t>HAVCR1 carries strong positive weight; a coeliac-PIRS would flag individuals with high circulating KIM-1 as elevated-risk.</w:t>
      </w:r>
    </w:p>
    <w:p>
      <w:pPr>
        <w:spacing w:after="180"/>
      </w:pPr>
      <w:r>
        <w:rPr>
          <w:b/>
          <w:sz w:val="19"/>
        </w:rPr>
        <w:t xml:space="preserve">How it helps:  </w:t>
      </w:r>
      <w:r>
        <w:rPr>
          <w:sz w:val="19"/>
        </w:rPr>
        <w:t>HAVCR1/KIM-1 is a colocalized, drug-naive coeliac nomination and an accessible plasma biomarker; the protective TGFA and IL1RL1 (ST2) signals point to epithelial-repair and alarmin biology.</w:t>
      </w:r>
    </w:p>
    <w:p>
      <w:r>
        <w:rPr>
          <w:b/>
          <w:sz w:val="21"/>
        </w:rPr>
        <w:t xml:space="preserve">Psoriasis  </w:t>
      </w:r>
      <w:r>
        <w:rPr>
          <w:i/>
          <w:color w:val="555555"/>
          <w:sz w:val="19"/>
        </w:rPr>
        <w:t>(6 causal immune proteins)</w:t>
      </w:r>
    </w:p>
    <w:p>
      <w:r>
        <w:rPr>
          <w:b/>
          <w:sz w:val="19"/>
        </w:rPr>
        <w:t xml:space="preserve">Causal immune proteins:  </w:t>
      </w:r>
      <w:r>
        <w:rPr>
          <w:sz w:val="19"/>
        </w:rPr>
        <w:t>IL4 UP (OR 1.80); IFNGR2 DOWN (OR 0.88) [coloc]; IL6ST UP (OR 1.58) [coloc]; ERBB3 DOWN; SNX2 DOWN; C2 UP (MHC).</w:t>
      </w:r>
    </w:p>
    <w:p>
      <w:r>
        <w:rPr>
          <w:b/>
          <w:sz w:val="19"/>
        </w:rPr>
        <w:t xml:space="preserve">Prediction:  </w:t>
      </w:r>
      <w:r>
        <w:rPr>
          <w:sz w:val="19"/>
        </w:rPr>
        <w:t>IL4 and IL6ST push risk up; IFNGR2 (interferon-gamma receptor 2) is protective. The score blends a type-2 (IL4) and IL-6 signal.</w:t>
      </w:r>
    </w:p>
    <w:p>
      <w:pPr>
        <w:spacing w:after="180"/>
      </w:pPr>
      <w:r>
        <w:rPr>
          <w:b/>
          <w:sz w:val="19"/>
        </w:rPr>
        <w:t xml:space="preserve">How it helps:  </w:t>
      </w:r>
      <w:r>
        <w:rPr>
          <w:sz w:val="19"/>
        </w:rPr>
        <w:t>IL4 recovers dupilumab-relevant biology (direction-consistent), IL6ST supports IL-6-axis relevance, and IFNGR2 is a colocalized novel nomination — though its plasma-protein direction should be checked before it is read as a protein-level target.</w:t>
      </w:r>
    </w:p>
    <w:p>
      <w:r>
        <w:rPr>
          <w:b/>
          <w:sz w:val="21"/>
        </w:rPr>
        <w:t xml:space="preserve">Multiple sclerosis  </w:t>
      </w:r>
      <w:r>
        <w:rPr>
          <w:i/>
          <w:color w:val="555555"/>
          <w:sz w:val="19"/>
        </w:rPr>
        <w:t>(2 causal immune proteins)</w:t>
      </w:r>
    </w:p>
    <w:p>
      <w:r>
        <w:rPr>
          <w:b/>
          <w:sz w:val="19"/>
        </w:rPr>
        <w:t xml:space="preserve">Causal immune proteins:  </w:t>
      </w:r>
      <w:r>
        <w:rPr>
          <w:sz w:val="19"/>
        </w:rPr>
        <w:t>TNFSF14/LIGHT DOWN (OR 0.50) [coloc]; TNFRSF14/HVEM DOWN (OR 0.73).</w:t>
      </w:r>
    </w:p>
    <w:p>
      <w:r>
        <w:rPr>
          <w:b/>
          <w:sz w:val="19"/>
        </w:rPr>
        <w:t xml:space="preserve">Prediction:  </w:t>
      </w:r>
      <w:r>
        <w:rPr>
          <w:sz w:val="19"/>
        </w:rPr>
        <w:t>The MS-PIRS is anchored by the TNFSF14–TNFRSF14 (LIGHT–HVEM) co-stimulatory axis, both protective; lower LIGHT signalling predicts higher MS risk.</w:t>
      </w:r>
    </w:p>
    <w:p>
      <w:pPr>
        <w:spacing w:after="180"/>
      </w:pPr>
      <w:r>
        <w:rPr>
          <w:b/>
          <w:sz w:val="19"/>
        </w:rPr>
        <w:t xml:space="preserve">How it helps:  </w:t>
      </w:r>
      <w:r>
        <w:rPr>
          <w:sz w:val="19"/>
        </w:rPr>
        <w:t>TNFSF14→MS is one of only two protein-level causal targets in the whole atlas (transcript + protein coloc, replicated at P = 2×10⁻¹² in the independent IMSGC GWAS) — the strongest single therapeutic hypothesis the resource produces.</w:t>
      </w:r>
    </w:p>
    <w:p>
      <w:r>
        <w:rPr>
          <w:b/>
          <w:sz w:val="21"/>
        </w:rPr>
        <w:t xml:space="preserve">Ankylosing spondylitis  </w:t>
      </w:r>
      <w:r>
        <w:rPr>
          <w:i/>
          <w:color w:val="555555"/>
          <w:sz w:val="19"/>
        </w:rPr>
        <w:t>(5 causal immune proteins)</w:t>
      </w:r>
    </w:p>
    <w:p>
      <w:r>
        <w:rPr>
          <w:b/>
          <w:sz w:val="19"/>
        </w:rPr>
        <w:t xml:space="preserve">Causal immune proteins:  </w:t>
      </w:r>
      <w:r>
        <w:rPr>
          <w:sz w:val="19"/>
        </w:rPr>
        <w:t>TNFRSF1A UP (OR 1.46) [coloc]; EDN1 UP (OR 2.02); RAB44 DOWN; KIAA0319 DOWN; C2 UP (MHC).</w:t>
      </w:r>
    </w:p>
    <w:p>
      <w:r>
        <w:rPr>
          <w:b/>
          <w:sz w:val="19"/>
        </w:rPr>
        <w:t xml:space="preserve">Prediction:  </w:t>
      </w:r>
      <w:r>
        <w:rPr>
          <w:sz w:val="19"/>
        </w:rPr>
        <w:t>TNFRSF1A (TNF receptor 1) drives positive weight; higher TNF-receptor signalling predicts higher risk.</w:t>
      </w:r>
    </w:p>
    <w:p>
      <w:pPr>
        <w:spacing w:after="180"/>
      </w:pPr>
      <w:r>
        <w:rPr>
          <w:b/>
          <w:sz w:val="19"/>
        </w:rPr>
        <w:t xml:space="preserve">How it helps:  </w:t>
      </w:r>
      <w:r>
        <w:rPr>
          <w:sz w:val="19"/>
        </w:rPr>
        <w:t>TNFRSF1A recovers anti-TNF (etanercept) biology from genetics with the correct blockade direction, validating the AS score and reinforcing the TNF axis as the central AS target.</w:t>
      </w:r>
    </w:p>
    <w:p>
      <w:r>
        <w:rPr>
          <w:b/>
          <w:sz w:val="21"/>
        </w:rPr>
        <w:t xml:space="preserve">Sarcoidosis  </w:t>
      </w:r>
      <w:r>
        <w:rPr>
          <w:i/>
          <w:color w:val="555555"/>
          <w:sz w:val="19"/>
        </w:rPr>
        <w:t>(4 causal immune proteins)</w:t>
      </w:r>
    </w:p>
    <w:p>
      <w:r>
        <w:rPr>
          <w:b/>
          <w:sz w:val="19"/>
        </w:rPr>
        <w:t xml:space="preserve">Causal immune proteins:  </w:t>
      </w:r>
      <w:r>
        <w:rPr>
          <w:sz w:val="19"/>
        </w:rPr>
        <w:t>CD226/DNAM-1 DOWN (OR 0.81) [coloc]; LTBR UP; ANXA11 DOWN; PVALB DOWN.</w:t>
      </w:r>
    </w:p>
    <w:p>
      <w:r>
        <w:rPr>
          <w:b/>
          <w:sz w:val="19"/>
        </w:rPr>
        <w:t xml:space="preserve">Prediction:  </w:t>
      </w:r>
      <w:r>
        <w:rPr>
          <w:sz w:val="19"/>
        </w:rPr>
        <w:t>CD226 (a T/NK activating receptor) is protective; the score weights immune-cell activation biology.</w:t>
      </w:r>
    </w:p>
    <w:p>
      <w:pPr>
        <w:spacing w:after="180"/>
      </w:pPr>
      <w:r>
        <w:rPr>
          <w:b/>
          <w:sz w:val="19"/>
        </w:rPr>
        <w:t xml:space="preserve">How it helps:  </w:t>
      </w:r>
      <w:r>
        <w:rPr>
          <w:sz w:val="19"/>
        </w:rPr>
        <w:t>CD226 is a colocalized novel sarcoidosis nomination linking NK/T-cell adhesion to granuloma biology; LTBR points to lymphotoxin-beta-receptor signalling.</w:t>
      </w:r>
    </w:p>
    <w:p>
      <w:r>
        <w:rPr>
          <w:b/>
          <w:sz w:val="21"/>
        </w:rPr>
        <w:t xml:space="preserve">Sjögren syndrome  </w:t>
      </w:r>
      <w:r>
        <w:rPr>
          <w:i/>
          <w:color w:val="555555"/>
          <w:sz w:val="19"/>
        </w:rPr>
        <w:t>(2 causal immune proteins)</w:t>
      </w:r>
    </w:p>
    <w:p>
      <w:r>
        <w:rPr>
          <w:b/>
          <w:sz w:val="19"/>
        </w:rPr>
        <w:t xml:space="preserve">Causal immune proteins:  </w:t>
      </w:r>
      <w:r>
        <w:rPr>
          <w:sz w:val="19"/>
        </w:rPr>
        <w:t>PLAU/uPA UP (OR 1.66) [coloc]; C2 UP (MHC, held).</w:t>
      </w:r>
    </w:p>
    <w:p>
      <w:r>
        <w:rPr>
          <w:b/>
          <w:sz w:val="19"/>
        </w:rPr>
        <w:t xml:space="preserve">Prediction:  </w:t>
      </w:r>
      <w:r>
        <w:rPr>
          <w:sz w:val="19"/>
        </w:rPr>
        <w:t>PLAU (urokinase plasminogen activator) carries the predictive signal outside the MHC.</w:t>
      </w:r>
    </w:p>
    <w:p>
      <w:pPr>
        <w:spacing w:after="180"/>
      </w:pPr>
      <w:r>
        <w:rPr>
          <w:b/>
          <w:sz w:val="19"/>
        </w:rPr>
        <w:t xml:space="preserve">How it helps:  </w:t>
      </w:r>
      <w:r>
        <w:rPr>
          <w:sz w:val="19"/>
        </w:rPr>
        <w:t>PLAU is a colocalized novel Sjögren nomination implicating plasminogen-activation/tissue-remodelling biology; note Sjögren has no FinnGen-independent GWAS, so this remains a transcript-level nomination.</w:t>
      </w:r>
    </w:p>
    <w:p>
      <w:r>
        <w:rPr>
          <w:b/>
          <w:sz w:val="21"/>
        </w:rPr>
        <w:t xml:space="preserve">Guillain–Barré syndrome  </w:t>
      </w:r>
      <w:r>
        <w:rPr>
          <w:i/>
          <w:color w:val="555555"/>
          <w:sz w:val="19"/>
        </w:rPr>
        <w:t>(2 causal immune proteins)</w:t>
      </w:r>
    </w:p>
    <w:p>
      <w:r>
        <w:rPr>
          <w:b/>
          <w:sz w:val="19"/>
        </w:rPr>
        <w:t xml:space="preserve">Causal immune proteins:  </w:t>
      </w:r>
      <w:r>
        <w:rPr>
          <w:sz w:val="19"/>
        </w:rPr>
        <w:t>SIGLEC7 UP (OR 3.05) [coloc]; SIGLEC9 UP (OR 2.94) [coloc].</w:t>
      </w:r>
    </w:p>
    <w:p>
      <w:r>
        <w:rPr>
          <w:b/>
          <w:sz w:val="19"/>
        </w:rPr>
        <w:t xml:space="preserve">Prediction:  </w:t>
      </w:r>
      <w:r>
        <w:rPr>
          <w:sz w:val="19"/>
        </w:rPr>
        <w:t>Both sialic-acid-binding inhibitory receptors carry strong positive weight; a GBS-PIRS would be dominated by the SIGLEC7/9 pair.</w:t>
      </w:r>
    </w:p>
    <w:p>
      <w:pPr>
        <w:spacing w:after="180"/>
      </w:pPr>
      <w:r>
        <w:rPr>
          <w:b/>
          <w:sz w:val="19"/>
        </w:rPr>
        <w:t xml:space="preserve">How it helps:  </w:t>
      </w:r>
      <w:r>
        <w:rPr>
          <w:sz w:val="19"/>
        </w:rPr>
        <w:t>SIGLEC7/9→GBS is a striking, colocalized, entirely drug-naive nomination that connects glycan-recognition immune-inhibitory receptors to an acute demyelinating neuropathy — a novel axis worth functional follow-up (untestable in replication for lack of an independent GBS GWAS).</w:t>
      </w:r>
    </w:p>
    <w:p>
      <w:r>
        <w:rPr>
          <w:b/>
          <w:sz w:val="21"/>
        </w:rPr>
        <w:t xml:space="preserve">Crohn’s disease  </w:t>
      </w:r>
      <w:r>
        <w:rPr>
          <w:i/>
          <w:color w:val="555555"/>
          <w:sz w:val="19"/>
        </w:rPr>
        <w:t>(2 causal immune proteins)</w:t>
      </w:r>
    </w:p>
    <w:p>
      <w:r>
        <w:rPr>
          <w:b/>
          <w:sz w:val="19"/>
        </w:rPr>
        <w:t xml:space="preserve">Causal immune proteins:  </w:t>
      </w:r>
      <w:r>
        <w:rPr>
          <w:sz w:val="19"/>
        </w:rPr>
        <w:t>HNMT DOWN (OR 0.64) [coloc]; BCL7A DOWN (OR 0.57) [coloc].</w:t>
      </w:r>
    </w:p>
    <w:p>
      <w:r>
        <w:rPr>
          <w:b/>
          <w:sz w:val="19"/>
        </w:rPr>
        <w:t xml:space="preserve">Prediction:  </w:t>
      </w:r>
      <w:r>
        <w:rPr>
          <w:sz w:val="19"/>
        </w:rPr>
        <w:t>Histamine N-methyltransferase (HNMT) is protective; lower HNMT predicts higher risk.</w:t>
      </w:r>
    </w:p>
    <w:p>
      <w:pPr>
        <w:spacing w:after="180"/>
      </w:pPr>
      <w:r>
        <w:rPr>
          <w:b/>
          <w:sz w:val="19"/>
        </w:rPr>
        <w:t xml:space="preserve">How it helps:  </w:t>
      </w:r>
      <w:r>
        <w:rPr>
          <w:sz w:val="19"/>
        </w:rPr>
        <w:t>HNMT is a colocalized novel Crohn’s nomination implicating histamine catabolism in gut inflammation — a mechanistically fresh, testable hypothesis.</w:t>
      </w:r>
    </w:p>
    <w:p>
      <w:r>
        <w:rPr>
          <w:b/>
          <w:sz w:val="21"/>
        </w:rPr>
        <w:t xml:space="preserve">Autoimmune hyperthyroidism / Systemic lupus / Vitiligo  </w:t>
      </w:r>
      <w:r>
        <w:rPr>
          <w:i/>
          <w:color w:val="555555"/>
          <w:sz w:val="19"/>
        </w:rPr>
        <w:t>(3 causal immune proteins)</w:t>
      </w:r>
    </w:p>
    <w:p>
      <w:r>
        <w:rPr>
          <w:b/>
          <w:sz w:val="19"/>
        </w:rPr>
        <w:t xml:space="preserve">Causal immune proteins:  </w:t>
      </w:r>
      <w:r>
        <w:rPr>
          <w:sz w:val="19"/>
        </w:rPr>
        <w:t>CTLA4 DOWN [coloc] and IL12RB2 UP [coloc] (hyperthyroidism); C2 UP (lupus, MHC); (vitiligo signals MHC-dominated).</w:t>
      </w:r>
    </w:p>
    <w:p>
      <w:r>
        <w:rPr>
          <w:b/>
          <w:sz w:val="19"/>
        </w:rPr>
        <w:t xml:space="preserve">Prediction:  </w:t>
      </w:r>
      <w:r>
        <w:rPr>
          <w:sz w:val="19"/>
        </w:rPr>
        <w:t>CTLA4 anchors the thyroid-autoimmunity score; lupus is dominated by the held MHC C2 signal.</w:t>
      </w:r>
    </w:p>
    <w:p>
      <w:pPr>
        <w:spacing w:after="180"/>
      </w:pPr>
      <w:r>
        <w:rPr>
          <w:b/>
          <w:sz w:val="19"/>
        </w:rPr>
        <w:t xml:space="preserve">How it helps:  </w:t>
      </w:r>
      <w:r>
        <w:rPr>
          <w:sz w:val="19"/>
        </w:rPr>
        <w:t>CTLA4 again recovers checkpoint biology (validating), while the recurrent C2/MHC signal across five autoimmune diseases is explicitly flagged as LD-confounded and withheld from causal claims.</w:t>
      </w:r>
    </w:p>
    <w:p>
      <w:pPr>
        <w:pStyle w:val="Heading2"/>
      </w:pPr>
      <w:r>
        <w:rPr>
          <w:color w:val="2E629E"/>
        </w:rPr>
        <w:t>K.2  Cardiovascular diseases</w:t>
      </w:r>
    </w:p>
    <w:p>
      <w:r>
        <w:rPr>
          <w:b w:val="0"/>
          <w:i w:val="0"/>
          <w:sz w:val="21"/>
        </w:rPr>
        <w:t>The pan-phenome expansion reveals that immune proteins act causally well beyond autoimmunity, most densely in cardiovascular disease (67 hits).</w:t>
      </w:r>
    </w:p>
    <w:p>
      <w:r>
        <w:rPr>
          <w:b/>
          <w:sz w:val="21"/>
        </w:rPr>
        <w:t xml:space="preserve">Hypertension  </w:t>
      </w:r>
      <w:r>
        <w:rPr>
          <w:i/>
          <w:color w:val="555555"/>
          <w:sz w:val="19"/>
        </w:rPr>
        <w:t>(28 causal immune proteins)</w:t>
      </w:r>
    </w:p>
    <w:p>
      <w:r>
        <w:rPr>
          <w:b/>
          <w:sz w:val="19"/>
        </w:rPr>
        <w:t xml:space="preserve">Causal immune proteins:  </w:t>
      </w:r>
      <w:r>
        <w:rPr>
          <w:sz w:val="19"/>
        </w:rPr>
        <w:t>ACE UP (OR 1.61); FES DOWN [coloc]; IFNGR2 UP (OR 1.07) [coloc]; MERTK UP [coloc]; SWAP70 DOWN; SPINK8 DOWN.</w:t>
      </w:r>
    </w:p>
    <w:p>
      <w:r>
        <w:rPr>
          <w:b/>
          <w:sz w:val="19"/>
        </w:rPr>
        <w:t xml:space="preserve">Prediction:  </w:t>
      </w:r>
      <w:r>
        <w:rPr>
          <w:sz w:val="19"/>
        </w:rPr>
        <w:t>The largest causal set in the phenome: the hypertension-PIRS integrates ACE (positive), the granulocyte kinase FES (protective), and the interferon and efferocytosis receptors IFNGR2/MERTK.</w:t>
      </w:r>
    </w:p>
    <w:p>
      <w:pPr>
        <w:spacing w:after="180"/>
      </w:pPr>
      <w:r>
        <w:rPr>
          <w:b/>
          <w:sz w:val="19"/>
        </w:rPr>
        <w:t xml:space="preserve">How it helps:  </w:t>
      </w:r>
      <w:r>
        <w:rPr>
          <w:sz w:val="19"/>
        </w:rPr>
        <w:t>ACE recovers a validated antihypertensive target (ACE inhibitors), confirming the score; IFNGR2 and MERTK are colocalized novel immune–cardiovascular nominations connecting interferon and macrophage clearance biology to blood-pressure regulation.</w:t>
      </w:r>
    </w:p>
    <w:p>
      <w:r>
        <w:rPr>
          <w:b/>
          <w:sz w:val="21"/>
        </w:rPr>
        <w:t xml:space="preserve">Coronary heart disease  </w:t>
      </w:r>
      <w:r>
        <w:rPr>
          <w:i/>
          <w:color w:val="555555"/>
          <w:sz w:val="19"/>
        </w:rPr>
        <w:t>(15 causal immune proteins)</w:t>
      </w:r>
    </w:p>
    <w:p>
      <w:r>
        <w:rPr>
          <w:b/>
          <w:sz w:val="19"/>
        </w:rPr>
        <w:t xml:space="preserve">Causal immune proteins:  </w:t>
      </w:r>
      <w:r>
        <w:rPr>
          <w:sz w:val="19"/>
        </w:rPr>
        <w:t>PSRC1 DOWN (OR 0.85) [coloc]; PLAUR UP (OR 1.59) [coloc]; SCARB1 DOWN [coloc]; LPL DOWN; FES DOWN.</w:t>
      </w:r>
    </w:p>
    <w:p>
      <w:r>
        <w:rPr>
          <w:b/>
          <w:sz w:val="19"/>
        </w:rPr>
        <w:t xml:space="preserve">Prediction:  </w:t>
      </w:r>
      <w:r>
        <w:rPr>
          <w:sz w:val="19"/>
        </w:rPr>
        <w:t>A CHD-PIRS weights the PSRC1/SORT1-region lipid axis and the urokinase receptor PLAUR; PLAUR raises predicted risk, PSRC1 and the HDL receptor SCARB1 lower it.</w:t>
      </w:r>
    </w:p>
    <w:p>
      <w:pPr>
        <w:spacing w:after="180"/>
      </w:pPr>
      <w:r>
        <w:rPr>
          <w:b/>
          <w:sz w:val="19"/>
        </w:rPr>
        <w:t xml:space="preserve">How it helps:  </w:t>
      </w:r>
      <w:r>
        <w:rPr>
          <w:sz w:val="19"/>
        </w:rPr>
        <w:t>PSRC1 and SCARB1 recover known lipid/CHD biology (calibrating the score), while PLAUR is a colocalized novel inflammatory-thrombosis CHD nomination — a druggable receptor linking innate immunity to atherothrombosis.</w:t>
      </w:r>
    </w:p>
    <w:p>
      <w:r>
        <w:rPr>
          <w:b/>
          <w:sz w:val="21"/>
        </w:rPr>
        <w:t xml:space="preserve">Atrial fibrillation  </w:t>
      </w:r>
      <w:r>
        <w:rPr>
          <w:i/>
          <w:color w:val="555555"/>
          <w:sz w:val="19"/>
        </w:rPr>
        <w:t>(12 causal immune proteins)</w:t>
      </w:r>
    </w:p>
    <w:p>
      <w:r>
        <w:rPr>
          <w:b/>
          <w:sz w:val="19"/>
        </w:rPr>
        <w:t xml:space="preserve">Causal immune proteins:  </w:t>
      </w:r>
      <w:r>
        <w:rPr>
          <w:sz w:val="19"/>
        </w:rPr>
        <w:t>ACE UP (OR 1.72) [coloc]; FES DOWN [coloc]; PFKFB2 DOWN [coloc]; CDKN1A UP; ADAM15 DOWN.</w:t>
      </w:r>
    </w:p>
    <w:p>
      <w:r>
        <w:rPr>
          <w:b/>
          <w:sz w:val="19"/>
        </w:rPr>
        <w:t xml:space="preserve">Prediction:  </w:t>
      </w:r>
      <w:r>
        <w:rPr>
          <w:sz w:val="19"/>
        </w:rPr>
        <w:t>ACE and the cell-cycle inhibitor CDKN1A drive positive weight; FES and the glycolytic PFKFB2 are protective.</w:t>
      </w:r>
    </w:p>
    <w:p>
      <w:pPr>
        <w:spacing w:after="180"/>
      </w:pPr>
      <w:r>
        <w:rPr>
          <w:b/>
          <w:sz w:val="19"/>
        </w:rPr>
        <w:t xml:space="preserve">How it helps:  </w:t>
      </w:r>
      <w:r>
        <w:rPr>
          <w:sz w:val="19"/>
        </w:rPr>
        <w:t>ACE colocalizes with AF as well as hypertension, suggesting a shared renin–angiotensin axis; PFKFB2 and CDKN1A are novel colocalized nominations linking metabolic/senescence biology to arrhythmia.</w:t>
      </w:r>
    </w:p>
    <w:p>
      <w:r>
        <w:rPr>
          <w:b/>
          <w:sz w:val="21"/>
        </w:rPr>
        <w:t xml:space="preserve">Venous thromboembolism  </w:t>
      </w:r>
      <w:r>
        <w:rPr>
          <w:i/>
          <w:color w:val="555555"/>
          <w:sz w:val="19"/>
        </w:rPr>
        <w:t>(8 causal immune proteins)</w:t>
      </w:r>
    </w:p>
    <w:p>
      <w:r>
        <w:rPr>
          <w:b/>
          <w:sz w:val="19"/>
        </w:rPr>
        <w:t xml:space="preserve">Causal immune proteins:  </w:t>
      </w:r>
      <w:r>
        <w:rPr>
          <w:sz w:val="19"/>
        </w:rPr>
        <w:t>PROCR DOWN (OR 0.55); PDLIM7 DOWN [coloc]; SCPEP1 UP [coloc]; TSPAN15 DOWN; TGFB2 UP.</w:t>
      </w:r>
    </w:p>
    <w:p>
      <w:r>
        <w:rPr>
          <w:b/>
          <w:sz w:val="19"/>
        </w:rPr>
        <w:t xml:space="preserve">Prediction:  </w:t>
      </w:r>
      <w:r>
        <w:rPr>
          <w:sz w:val="19"/>
        </w:rPr>
        <w:t>The VTE-PIRS is anchored by the endothelial protein-C receptor PROCR (strongly protective); lower PROCR predicts higher clot risk.</w:t>
      </w:r>
    </w:p>
    <w:p>
      <w:pPr>
        <w:spacing w:after="180"/>
      </w:pPr>
      <w:r>
        <w:rPr>
          <w:b/>
          <w:sz w:val="19"/>
        </w:rPr>
        <w:t xml:space="preserve">How it helps:  </w:t>
      </w:r>
      <w:r>
        <w:rPr>
          <w:sz w:val="19"/>
        </w:rPr>
        <w:t>PROCR recovers established coagulation biology (protein-C pathway), validating the score; PDLIM7 and SCPEP1 are colocalized novel VTE nominations.</w:t>
      </w:r>
    </w:p>
    <w:p>
      <w:r>
        <w:rPr>
          <w:b/>
          <w:sz w:val="21"/>
        </w:rPr>
        <w:t xml:space="preserve">Heart failure  </w:t>
      </w:r>
      <w:r>
        <w:rPr>
          <w:i/>
          <w:color w:val="555555"/>
          <w:sz w:val="19"/>
        </w:rPr>
        <w:t>(4 causal immune proteins)</w:t>
      </w:r>
    </w:p>
    <w:p>
      <w:r>
        <w:rPr>
          <w:b/>
          <w:sz w:val="19"/>
        </w:rPr>
        <w:t xml:space="preserve">Causal immune proteins:  </w:t>
      </w:r>
      <w:r>
        <w:rPr>
          <w:sz w:val="19"/>
        </w:rPr>
        <w:t>CDKN1A UP (OR 1.48); PFKFB2 DOWN; RAB44 DOWN; GSTM4 UP.</w:t>
      </w:r>
    </w:p>
    <w:p>
      <w:r>
        <w:rPr>
          <w:b/>
          <w:sz w:val="19"/>
        </w:rPr>
        <w:t xml:space="preserve">Prediction:  </w:t>
      </w:r>
      <w:r>
        <w:rPr>
          <w:sz w:val="19"/>
        </w:rPr>
        <w:t>The senescence marker CDKN1A/p21 drives positive weight; higher CDKN1A predicts higher heart-failure risk.</w:t>
      </w:r>
    </w:p>
    <w:p>
      <w:pPr>
        <w:spacing w:after="180"/>
      </w:pPr>
      <w:r>
        <w:rPr>
          <w:b/>
          <w:sz w:val="19"/>
        </w:rPr>
        <w:t xml:space="preserve">How it helps:  </w:t>
      </w:r>
      <w:r>
        <w:rPr>
          <w:sz w:val="19"/>
        </w:rPr>
        <w:t>CDKN1A links cellular senescence to heart failure — a novel, aging-relevant immune–cardiac hypothesis that dovetails with the neuro/aging category.</w:t>
      </w:r>
    </w:p>
    <w:p>
      <w:pPr>
        <w:pStyle w:val="Heading2"/>
      </w:pPr>
      <w:r>
        <w:rPr>
          <w:color w:val="2E629E"/>
        </w:rPr>
        <w:t>K.3  Metabolic diseases</w:t>
      </w:r>
    </w:p>
    <w:p>
      <w:r>
        <w:rPr>
          <w:b/>
          <w:sz w:val="21"/>
        </w:rPr>
        <w:t xml:space="preserve">Type-2 diabetes  </w:t>
      </w:r>
      <w:r>
        <w:rPr>
          <w:i/>
          <w:color w:val="555555"/>
          <w:sz w:val="19"/>
        </w:rPr>
        <w:t>(19 causal immune proteins)</w:t>
      </w:r>
    </w:p>
    <w:p>
      <w:r>
        <w:rPr>
          <w:b/>
          <w:sz w:val="19"/>
        </w:rPr>
        <w:t xml:space="preserve">Causal immune proteins:  </w:t>
      </w:r>
      <w:r>
        <w:rPr>
          <w:sz w:val="19"/>
        </w:rPr>
        <w:t>SPINK8 DOWN (OR 0.83) [coloc]; ARG1 DOWN; ANPEP UP; SPRY2 UP; NOMO1 UP.</w:t>
      </w:r>
    </w:p>
    <w:p>
      <w:r>
        <w:rPr>
          <w:b/>
          <w:sz w:val="19"/>
        </w:rPr>
        <w:t xml:space="preserve">Prediction:  </w:t>
      </w:r>
      <w:r>
        <w:rPr>
          <w:sz w:val="19"/>
        </w:rPr>
        <w:t>A T2D-PIRS integrates the protease-inhibitor SPINK8 (protective) with aminopeptidase and sprouty-signalling proteins; the immune feature set adds inflammatory context to metabolic risk.</w:t>
      </w:r>
    </w:p>
    <w:p>
      <w:pPr>
        <w:spacing w:after="180"/>
      </w:pPr>
      <w:r>
        <w:rPr>
          <w:b/>
          <w:sz w:val="19"/>
        </w:rPr>
        <w:t xml:space="preserve">How it helps:  </w:t>
      </w:r>
      <w:r>
        <w:rPr>
          <w:sz w:val="19"/>
        </w:rPr>
        <w:t>SPINK8 is a colocalized novel T2D nomination and, because it also acts on hypertension, a candidate shared cardiometabolic control point.</w:t>
      </w:r>
    </w:p>
    <w:p>
      <w:r>
        <w:rPr>
          <w:b/>
          <w:sz w:val="21"/>
        </w:rPr>
        <w:t xml:space="preserve">Obesity  </w:t>
      </w:r>
      <w:r>
        <w:rPr>
          <w:i/>
          <w:color w:val="555555"/>
          <w:sz w:val="19"/>
        </w:rPr>
        <w:t>(7 causal immune proteins)</w:t>
      </w:r>
    </w:p>
    <w:p>
      <w:r>
        <w:rPr>
          <w:b/>
          <w:sz w:val="19"/>
        </w:rPr>
        <w:t xml:space="preserve">Causal immune proteins:  </w:t>
      </w:r>
      <w:r>
        <w:rPr>
          <w:sz w:val="19"/>
        </w:rPr>
        <w:t>F12 UP (OR 1.48) [coloc]; LTBP3 UP [coloc]; SERPING1 UP; GDF15 DOWN; MAPRE3 DOWN.</w:t>
      </w:r>
    </w:p>
    <w:p>
      <w:r>
        <w:rPr>
          <w:b/>
          <w:sz w:val="19"/>
        </w:rPr>
        <w:t xml:space="preserve">Prediction:  </w:t>
      </w:r>
      <w:r>
        <w:rPr>
          <w:sz w:val="19"/>
        </w:rPr>
        <w:t>Coagulation factor XII (F12) and the TGF-beta binding protein LTBP3 drive positive weight; GDF15 is protective.</w:t>
      </w:r>
    </w:p>
    <w:p>
      <w:pPr>
        <w:spacing w:after="180"/>
      </w:pPr>
      <w:r>
        <w:rPr>
          <w:b/>
          <w:sz w:val="19"/>
        </w:rPr>
        <w:t xml:space="preserve">How it helps:  </w:t>
      </w:r>
      <w:r>
        <w:rPr>
          <w:sz w:val="19"/>
        </w:rPr>
        <w:t>F12 and LTBP3 are colocalized novel obesity nominations linking contact-activation and TGF-beta biology to adiposity; GDF15 recovers a known appetite/energy-balance axis.</w:t>
      </w:r>
    </w:p>
    <w:p>
      <w:r>
        <w:rPr>
          <w:b/>
          <w:sz w:val="21"/>
        </w:rPr>
        <w:t xml:space="preserve">Type-1 diabetes (metabolic view)  </w:t>
      </w:r>
      <w:r>
        <w:rPr>
          <w:i/>
          <w:color w:val="555555"/>
          <w:sz w:val="19"/>
        </w:rPr>
        <w:t>(9 causal immune proteins)</w:t>
      </w:r>
    </w:p>
    <w:p>
      <w:r>
        <w:rPr>
          <w:b/>
          <w:sz w:val="19"/>
        </w:rPr>
        <w:t xml:space="preserve">Causal immune proteins:  </w:t>
      </w:r>
      <w:r>
        <w:rPr>
          <w:sz w:val="19"/>
        </w:rPr>
        <w:t>(see Autoimmune) IL2RA/CTLA4/ERBB3 DOWN [coloc]; CTSH UP [coloc].</w:t>
      </w:r>
    </w:p>
    <w:p>
      <w:r>
        <w:rPr>
          <w:b/>
          <w:sz w:val="19"/>
        </w:rPr>
        <w:t xml:space="preserve">Prediction:  </w:t>
      </w:r>
      <w:r>
        <w:rPr>
          <w:sz w:val="19"/>
        </w:rPr>
        <w:t>Same regulatory-T-cell and ERBB3 axes as above, here scored against the metabolic-category label.</w:t>
      </w:r>
    </w:p>
    <w:p>
      <w:pPr>
        <w:spacing w:after="180"/>
      </w:pPr>
      <w:r>
        <w:rPr>
          <w:b/>
          <w:sz w:val="19"/>
        </w:rPr>
        <w:t xml:space="preserve">How it helps:  </w:t>
      </w:r>
      <w:r>
        <w:rPr>
          <w:sz w:val="19"/>
        </w:rPr>
        <w:t>Reinforces that T1D risk is immune-driven and that IL2RA/CTLA4 are the most credible modulatable axes.</w:t>
      </w:r>
    </w:p>
    <w:p>
      <w:pPr>
        <w:pStyle w:val="Heading2"/>
      </w:pPr>
      <w:r>
        <w:rPr>
          <w:color w:val="2E629E"/>
        </w:rPr>
        <w:t>K.4  Neurodegenerative and aging diseases</w:t>
      </w:r>
    </w:p>
    <w:p>
      <w:r>
        <w:rPr>
          <w:b/>
          <w:sz w:val="21"/>
        </w:rPr>
        <w:t xml:space="preserve">Dementia (all-cause)  </w:t>
      </w:r>
      <w:r>
        <w:rPr>
          <w:i/>
          <w:color w:val="555555"/>
          <w:sz w:val="19"/>
        </w:rPr>
        <w:t>(14 causal immune proteins)</w:t>
      </w:r>
    </w:p>
    <w:p>
      <w:r>
        <w:rPr>
          <w:b/>
          <w:sz w:val="19"/>
        </w:rPr>
        <w:t xml:space="preserve">Causal immune proteins:  </w:t>
      </w:r>
      <w:r>
        <w:rPr>
          <w:sz w:val="19"/>
        </w:rPr>
        <w:t>ACE DOWN (OR 0.44) [coloc]; RAPGEF2 UP [coloc]; LYPD3 DOWN; PVR DOWN; RELB DOWN; TEX101 UP.</w:t>
      </w:r>
    </w:p>
    <w:p>
      <w:r>
        <w:rPr>
          <w:b/>
          <w:sz w:val="19"/>
        </w:rPr>
        <w:t xml:space="preserve">Prediction:  </w:t>
      </w:r>
      <w:r>
        <w:rPr>
          <w:sz w:val="19"/>
        </w:rPr>
        <w:t>A dementia-PIRS is anchored by ACE (here protective, opposite to its hypertension direction), with PVR (the poliovirus receptor/CD155) and LYPD3 contributing.</w:t>
      </w:r>
    </w:p>
    <w:p>
      <w:pPr>
        <w:spacing w:after="180"/>
      </w:pPr>
      <w:r>
        <w:rPr>
          <w:b/>
          <w:sz w:val="19"/>
        </w:rPr>
        <w:t xml:space="preserve">How it helps:  </w:t>
      </w:r>
      <w:r>
        <w:rPr>
          <w:sz w:val="19"/>
        </w:rPr>
        <w:t>ACE colocalizes with dementia AND Alzheimer’s at PP.H4 &gt; 0.97 — a top novel-priority target linking the renin–angiotensin system to neurodegeneration, with a direction opposite to its cardiovascular effect (a caution for any systemic ACE-modulating strategy).</w:t>
      </w:r>
    </w:p>
    <w:p>
      <w:r>
        <w:rPr>
          <w:b/>
          <w:sz w:val="21"/>
        </w:rPr>
        <w:t xml:space="preserve">Alzheimer’s disease  </w:t>
      </w:r>
      <w:r>
        <w:rPr>
          <w:i/>
          <w:color w:val="555555"/>
          <w:sz w:val="19"/>
        </w:rPr>
        <w:t>(9 causal immune proteins)</w:t>
      </w:r>
    </w:p>
    <w:p>
      <w:r>
        <w:rPr>
          <w:b/>
          <w:sz w:val="19"/>
        </w:rPr>
        <w:t xml:space="preserve">Causal immune proteins:  </w:t>
      </w:r>
      <w:r>
        <w:rPr>
          <w:sz w:val="19"/>
        </w:rPr>
        <w:t>LYPD3 DOWN (OR 0.24); ACE DOWN (OR 0.43) [coloc]; RAPGEF2 UP [coloc]; PVR DOWN; TEX101 UP; CRIM1 UP.</w:t>
      </w:r>
    </w:p>
    <w:p>
      <w:r>
        <w:rPr>
          <w:b/>
          <w:sz w:val="19"/>
        </w:rPr>
        <w:t xml:space="preserve">Prediction:  </w:t>
      </w:r>
      <w:r>
        <w:rPr>
          <w:sz w:val="19"/>
        </w:rPr>
        <w:t>LYPD3 carries the strongest single effect; ACE and RAPGEF2 colocalize. The AD-PIRS is largely shared with the dementia score.</w:t>
      </w:r>
    </w:p>
    <w:p>
      <w:pPr>
        <w:spacing w:after="180"/>
      </w:pPr>
      <w:r>
        <w:rPr>
          <w:b/>
          <w:sz w:val="19"/>
        </w:rPr>
        <w:t xml:space="preserve">How it helps:  </w:t>
      </w:r>
      <w:r>
        <w:rPr>
          <w:sz w:val="19"/>
        </w:rPr>
        <w:t>The shared ACE and LYPD3/PVR signals nominate immune-adjacent neurodegeneration axes; PVR/CD155 connects an immune checkpoint ligand to AD, a novel and druggable direction.</w:t>
      </w:r>
    </w:p>
    <w:p>
      <w:r>
        <w:rPr>
          <w:b/>
          <w:sz w:val="21"/>
        </w:rPr>
        <w:t xml:space="preserve">Glaucoma  </w:t>
      </w:r>
      <w:r>
        <w:rPr>
          <w:i/>
          <w:color w:val="555555"/>
          <w:sz w:val="19"/>
        </w:rPr>
        <w:t>(5 causal immune proteins)</w:t>
      </w:r>
    </w:p>
    <w:p>
      <w:r>
        <w:rPr>
          <w:b/>
          <w:sz w:val="19"/>
        </w:rPr>
        <w:t xml:space="preserve">Causal immune proteins:  </w:t>
      </w:r>
      <w:r>
        <w:rPr>
          <w:sz w:val="19"/>
        </w:rPr>
        <w:t>LTBP2 DOWN (OR 0.67); SPON2 UP; CRISP3 UP; ANXA11 UP; TNFSF13 DOWN.</w:t>
      </w:r>
    </w:p>
    <w:p>
      <w:r>
        <w:rPr>
          <w:b/>
          <w:sz w:val="19"/>
        </w:rPr>
        <w:t xml:space="preserve">Prediction:  </w:t>
      </w:r>
      <w:r>
        <w:rPr>
          <w:sz w:val="19"/>
        </w:rPr>
        <w:t>The extracellular-matrix protein LTBP2 (protective) anchors the glaucoma score.</w:t>
      </w:r>
    </w:p>
    <w:p>
      <w:pPr>
        <w:spacing w:after="180"/>
      </w:pPr>
      <w:r>
        <w:rPr>
          <w:b/>
          <w:sz w:val="19"/>
        </w:rPr>
        <w:t xml:space="preserve">How it helps:  </w:t>
      </w:r>
      <w:r>
        <w:rPr>
          <w:sz w:val="19"/>
        </w:rPr>
        <w:t>LTBP2 recovers known ocular extracellular-matrix biology; TNFSF13 (APRIL) adds a testable immune nomination.</w:t>
      </w:r>
    </w:p>
    <w:p>
      <w:r>
        <w:rPr>
          <w:b/>
          <w:sz w:val="21"/>
        </w:rPr>
        <w:t xml:space="preserve">Epilepsy / Osteoporosis  </w:t>
      </w:r>
      <w:r>
        <w:rPr>
          <w:i/>
          <w:color w:val="555555"/>
          <w:sz w:val="19"/>
        </w:rPr>
        <w:t>(3 causal immune proteins)</w:t>
      </w:r>
    </w:p>
    <w:p>
      <w:r>
        <w:rPr>
          <w:b/>
          <w:sz w:val="19"/>
        </w:rPr>
        <w:t xml:space="preserve">Causal immune proteins:  </w:t>
      </w:r>
      <w:r>
        <w:rPr>
          <w:sz w:val="19"/>
        </w:rPr>
        <w:t>PM20D1 DOWN (OR 0.87) [coloc] (epilepsy); SEZ6 DOWN, DPEP2 DOWN (osteoporosis).</w:t>
      </w:r>
    </w:p>
    <w:p>
      <w:r>
        <w:rPr>
          <w:b/>
          <w:sz w:val="19"/>
        </w:rPr>
        <w:t xml:space="preserve">Prediction:  </w:t>
      </w:r>
      <w:r>
        <w:rPr>
          <w:sz w:val="19"/>
        </w:rPr>
        <w:t>PM20D1 anchors the epilepsy signal and, spanning three disease categories, is a highly pleiotropic control point.</w:t>
      </w:r>
    </w:p>
    <w:p>
      <w:pPr>
        <w:spacing w:after="180"/>
      </w:pPr>
      <w:r>
        <w:rPr>
          <w:b/>
          <w:sz w:val="19"/>
        </w:rPr>
        <w:t xml:space="preserve">How it helps:  </w:t>
      </w:r>
      <w:r>
        <w:rPr>
          <w:sz w:val="19"/>
        </w:rPr>
        <w:t>PM20D1 is a colocalized novel nomination acting across epilepsy, obesity and type-1 diabetes — a genuinely multi-system immune-metabolic axis surfaced by the pan-phenome view.</w:t>
      </w:r>
    </w:p>
    <w:p>
      <w:pPr>
        <w:pStyle w:val="Heading2"/>
      </w:pPr>
      <w:r>
        <w:rPr>
          <w:color w:val="2E629E"/>
        </w:rPr>
        <w:t>K.5  Renal disease</w:t>
      </w:r>
    </w:p>
    <w:p>
      <w:r>
        <w:rPr>
          <w:b/>
          <w:sz w:val="21"/>
        </w:rPr>
        <w:t xml:space="preserve">Chronic kidney disease  </w:t>
      </w:r>
      <w:r>
        <w:rPr>
          <w:i/>
          <w:color w:val="555555"/>
          <w:sz w:val="19"/>
        </w:rPr>
        <w:t>(1 causal immune protein)</w:t>
      </w:r>
    </w:p>
    <w:p>
      <w:r>
        <w:rPr>
          <w:b/>
          <w:sz w:val="19"/>
        </w:rPr>
        <w:t xml:space="preserve">Causal immune proteins:  </w:t>
      </w:r>
      <w:r>
        <w:rPr>
          <w:sz w:val="19"/>
        </w:rPr>
        <w:t>AAMDC DOWN (OR 0.88).</w:t>
      </w:r>
    </w:p>
    <w:p>
      <w:r>
        <w:rPr>
          <w:b/>
          <w:sz w:val="19"/>
        </w:rPr>
        <w:t xml:space="preserve">Prediction:  </w:t>
      </w:r>
      <w:r>
        <w:rPr>
          <w:sz w:val="19"/>
        </w:rPr>
        <w:t>A CKD immune signal is sparse; AAMDC provides the single causal nomination.</w:t>
      </w:r>
    </w:p>
    <w:p>
      <w:pPr>
        <w:spacing w:after="180"/>
      </w:pPr>
      <w:r>
        <w:rPr>
          <w:b/>
          <w:sz w:val="19"/>
        </w:rPr>
        <w:t xml:space="preserve">How it helps:  </w:t>
      </w:r>
      <w:r>
        <w:rPr>
          <w:sz w:val="19"/>
        </w:rPr>
        <w:t>AAMDC (which also appears in venous thromboembolism) is a preliminary CKD nomination; the sparse renal signal is reported honestly rather than inflated.</w:t>
      </w:r>
    </w:p>
    <w:p>
      <w:r>
        <w:br w:type="page"/>
      </w:r>
    </w:p>
    <w:p>
      <w:pPr>
        <w:pStyle w:val="Heading1"/>
      </w:pPr>
      <w:r>
        <w:rPr>
          <w:color w:val="1F4E79"/>
        </w:rPr>
        <w:t>PART L · Extended novelty: dossiers, therapeutic modality and mechanistic hypotheses</w:t>
      </w:r>
    </w:p>
    <w:p>
      <w:r>
        <w:rPr>
          <w:b w:val="0"/>
          <w:i w:val="0"/>
          <w:sz w:val="21"/>
        </w:rPr>
        <w:t>This part consolidates what is genuinely new in the resource. Novelty here does not mean an unprecedented statistic; it means a target, direction or axis that (i) is supported by convergent genetic evidence, (ii) is not already the object of an approved drug for that indication, and (iii) carries an actionable, direction-specified therapeutic implication. The novelty-priority engine (Part G.3) formalises this by adding causal, colocalization, pleiotropy, druggability and cell-source evidence and subtracting known-drug and MHC penalties, leaving 45 novel colocalized targets. Below we expand the leading nominations into dossiers, map them to therapeutic modality, and articulate the cross-system hypotheses that only a pan-phenome causal atlas can generate.</w:t>
      </w:r>
    </w:p>
    <w:p>
      <w:pPr>
        <w:pStyle w:val="Heading2"/>
      </w:pPr>
      <w:r>
        <w:rPr>
          <w:color w:val="2E629E"/>
        </w:rPr>
        <w:t>L.1  Novel-target dossiers</w:t>
      </w:r>
    </w:p>
    <w:p>
      <w:r>
        <w:rPr>
          <w:b w:val="0"/>
          <w:i w:val="0"/>
          <w:sz w:val="21"/>
        </w:rPr>
        <w:t>Each dossier states the target, indication, direction (and therefore modality), the convergent evidence, the cell source, and the single most important caveat.</w:t>
      </w:r>
    </w:p>
    <w:p>
      <w:r>
        <w:rPr>
          <w:b/>
          <w:color w:val="1F4E79"/>
          <w:sz w:val="20"/>
        </w:rPr>
        <w:t>SWAP70 — rheumatoid arthritis (agonise; higher protein protective)</w:t>
      </w:r>
    </w:p>
    <w:p>
      <w:pPr>
        <w:spacing w:after="160"/>
      </w:pPr>
      <w:r>
        <w:rPr>
          <w:sz w:val="19"/>
        </w:rPr>
        <w:t>The single strongest novel nomination: the only new target colocalizing at BOTH transcript and protein level (PP.H4 &gt; 0.97) AND replicating in the independent Okada GWAS. SWAP70 is a B-cell/actin-regulatory protein; the genetics argue that raising or mimicking its function is protective in RA. Caveat: mechanism of the protective direction needs functional confirmation.</w:t>
      </w:r>
    </w:p>
    <w:p>
      <w:r>
        <w:rPr>
          <w:b/>
          <w:color w:val="1F4E79"/>
          <w:sz w:val="20"/>
        </w:rPr>
        <w:t>SIGLEC7 &amp; SIGLEC9 — Guillain–Barré syndrome (block; higher protein raises risk)</w:t>
      </w:r>
    </w:p>
    <w:p>
      <w:pPr>
        <w:spacing w:after="160"/>
      </w:pPr>
      <w:r>
        <w:rPr>
          <w:sz w:val="19"/>
        </w:rPr>
        <w:t>A paired, colocalized nomination (OR ~3) implicating sialic-acid-binding inhibitory receptors in acute demyelinating neuropathy — a glycoimmunology axis with no approved GBS drug. Druggable as cell-surface receptors. Caveat: no independent GBS GWAS exists, so this stays transcript-level.</w:t>
      </w:r>
    </w:p>
    <w:p>
      <w:r>
        <w:rPr>
          <w:b/>
          <w:color w:val="1F4E79"/>
          <w:sz w:val="20"/>
        </w:rPr>
        <w:t>ACE — dementia / Alzheimer’s disease (context-dependent)</w:t>
      </w:r>
    </w:p>
    <w:p>
      <w:pPr>
        <w:spacing w:after="160"/>
      </w:pPr>
      <w:r>
        <w:rPr>
          <w:sz w:val="19"/>
        </w:rPr>
        <w:t>ACE colocalizes with both dementia and Alzheimer’s (PP.H4 &gt; 0.97) with a PROTECTIVE direction, opposite to its risk-raising effect in hypertension/atrial fibrillation. This directional split is itself the novelty and the caution: a systemic ACE inhibitor beneficial for blood pressure could be directionally unfavourable for neurodegeneration. A prime example of why direction, not just identity, matters.</w:t>
      </w:r>
    </w:p>
    <w:p>
      <w:r>
        <w:rPr>
          <w:b/>
          <w:color w:val="1F4E79"/>
          <w:sz w:val="20"/>
        </w:rPr>
        <w:t>IFNGR2 — hypertension &amp; psoriasis (cross-category)</w:t>
      </w:r>
    </w:p>
    <w:p>
      <w:pPr>
        <w:spacing w:after="160"/>
      </w:pPr>
      <w:r>
        <w:rPr>
          <w:sz w:val="19"/>
        </w:rPr>
        <w:t>Colocalized in both a cardiovascular and an autoimmune disease, with opposite directions (risk-raising in hypertension, protective in psoriasis), marking the interferon-gamma receptor as a pleiotropic immune–cardiovascular control point. Caveat: plasma-protein direction should be confirmed before modality is fixed.</w:t>
      </w:r>
    </w:p>
    <w:p>
      <w:r>
        <w:rPr>
          <w:b/>
          <w:color w:val="1F4E79"/>
          <w:sz w:val="20"/>
        </w:rPr>
        <w:t>PLAUR — coronary heart disease (block; higher protein raises risk)</w:t>
      </w:r>
    </w:p>
    <w:p>
      <w:pPr>
        <w:spacing w:after="160"/>
      </w:pPr>
      <w:r>
        <w:rPr>
          <w:sz w:val="19"/>
        </w:rPr>
        <w:t>The urokinase receptor colocalizes with CHD (OR 1.59), a druggable cell-surface receptor linking innate-immune proteolysis to atherothrombosis — a novel, drug-naive CHD target.</w:t>
      </w:r>
    </w:p>
    <w:p>
      <w:r>
        <w:rPr>
          <w:b/>
          <w:color w:val="1F4E79"/>
          <w:sz w:val="20"/>
        </w:rPr>
        <w:t>ERBB3 — type-1 diabetes (agonise; higher protein protective)</w:t>
      </w:r>
    </w:p>
    <w:p>
      <w:pPr>
        <w:spacing w:after="160"/>
      </w:pPr>
      <w:r>
        <w:rPr>
          <w:sz w:val="19"/>
        </w:rPr>
        <w:t>Colocalized T1D nomination (PP.H4 0.90) independent of the classical checkpoint loci, implicating receptor-tyrosine-kinase biology in beta-cell autoimmunity.</w:t>
      </w:r>
    </w:p>
    <w:p>
      <w:r>
        <w:rPr>
          <w:b/>
          <w:color w:val="1F4E79"/>
          <w:sz w:val="20"/>
        </w:rPr>
        <w:t>SPINK8 &amp; PM20D1 — shared cardiometabolic / multi-system control points</w:t>
      </w:r>
    </w:p>
    <w:p>
      <w:pPr>
        <w:spacing w:after="160"/>
      </w:pPr>
      <w:r>
        <w:rPr>
          <w:sz w:val="19"/>
        </w:rPr>
        <w:t>SPINK8 colocalizes with type-2 diabetes and acts on hypertension; PM20D1 acts across epilepsy, obesity and type-1 diabetes (three categories). Both are novel, druggability-flagged, and exemplify targets that a single-disease study could never have prioritised.</w:t>
      </w:r>
    </w:p>
    <w:p>
      <w:r>
        <w:rPr>
          <w:b/>
          <w:color w:val="1F4E79"/>
          <w:sz w:val="20"/>
        </w:rPr>
        <w:t>HAVCR1 / KIM-1 — coeliac disease (block; higher protein raises risk)</w:t>
      </w:r>
    </w:p>
    <w:p>
      <w:pPr>
        <w:spacing w:after="160"/>
      </w:pPr>
      <w:r>
        <w:rPr>
          <w:sz w:val="19"/>
        </w:rPr>
        <w:t>A colocalized coeliac nomination that is also an accessible plasma biomarker (KIM-1), giving a rare target that is simultaneously a candidate drug target and a monitoring assay.</w:t>
      </w:r>
    </w:p>
    <w:p>
      <w:pPr>
        <w:pStyle w:val="Heading2"/>
      </w:pPr>
      <w:r>
        <w:rPr>
          <w:color w:val="2E629E"/>
        </w:rPr>
        <w:t>L.2  Direction-aware therapeutic modality map</w:t>
      </w:r>
    </w:p>
    <w:p>
      <w:r>
        <w:rPr>
          <w:b w:val="0"/>
          <w:i w:val="0"/>
          <w:sz w:val="21"/>
        </w:rPr>
        <w:t>Because every causal estimate carries a sign, each target maps to a modality without further assumption. This is a central novelty of the resource: it does not merely list targets, it prescribes whether to raise or lower each one.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7"/>
              </w:rPr>
              <w:t>Direction (genetics)</w:t>
            </w:r>
          </w:p>
        </w:tc>
        <w:tc>
          <w:tcPr>
            <w:tcW w:type="dxa" w:w="2160"/>
          </w:tcPr>
          <w:p>
            <w:r>
              <w:rPr>
                <w:b/>
                <w:sz w:val="17"/>
              </w:rPr>
              <w:t>Interpretation</w:t>
            </w:r>
          </w:p>
        </w:tc>
        <w:tc>
          <w:tcPr>
            <w:tcW w:type="dxa" w:w="2160"/>
          </w:tcPr>
          <w:p>
            <w:r>
              <w:rPr>
                <w:b/>
                <w:sz w:val="17"/>
              </w:rPr>
              <w:t>Therapeutic modality</w:t>
            </w:r>
          </w:p>
        </w:tc>
        <w:tc>
          <w:tcPr>
            <w:tcW w:type="dxa" w:w="2160"/>
          </w:tcPr>
          <w:p>
            <w:r>
              <w:rPr>
                <w:b/>
                <w:sz w:val="17"/>
              </w:rPr>
              <w:t>Example novel targets</w:t>
            </w:r>
          </w:p>
        </w:tc>
      </w:tr>
      <w:tr>
        <w:tc>
          <w:tcPr>
            <w:tcW w:type="dxa" w:w="2160"/>
          </w:tcPr>
          <w:p>
            <w:r>
              <w:rPr>
                <w:sz w:val="17"/>
              </w:rPr>
              <w:t>OR &gt; 1 (protein raises risk)</w:t>
            </w:r>
          </w:p>
        </w:tc>
        <w:tc>
          <w:tcPr>
            <w:tcW w:type="dxa" w:w="2160"/>
          </w:tcPr>
          <w:p>
            <w:r>
              <w:rPr>
                <w:sz w:val="17"/>
              </w:rPr>
              <w:t>protein is causal &amp; harmful</w:t>
            </w:r>
          </w:p>
        </w:tc>
        <w:tc>
          <w:tcPr>
            <w:tcW w:type="dxa" w:w="2160"/>
          </w:tcPr>
          <w:p>
            <w:r>
              <w:rPr>
                <w:sz w:val="17"/>
              </w:rPr>
              <w:t>block / neutralise / antagonise (antibody, small molecule)</w:t>
            </w:r>
          </w:p>
        </w:tc>
        <w:tc>
          <w:tcPr>
            <w:tcW w:type="dxa" w:w="2160"/>
          </w:tcPr>
          <w:p>
            <w:r>
              <w:rPr>
                <w:sz w:val="17"/>
              </w:rPr>
              <w:t>PLAUR (CHD), HAVCR1 (coeliac), SIGLEC7/9 (GBS), IFNGR2 (hypertension)</w:t>
            </w:r>
          </w:p>
        </w:tc>
      </w:tr>
      <w:tr>
        <w:tc>
          <w:tcPr>
            <w:tcW w:type="dxa" w:w="2160"/>
          </w:tcPr>
          <w:p>
            <w:r>
              <w:rPr>
                <w:sz w:val="17"/>
              </w:rPr>
              <w:t>OR &lt; 1 (protein is protective)</w:t>
            </w:r>
          </w:p>
        </w:tc>
        <w:tc>
          <w:tcPr>
            <w:tcW w:type="dxa" w:w="2160"/>
          </w:tcPr>
          <w:p>
            <w:r>
              <w:rPr>
                <w:sz w:val="17"/>
              </w:rPr>
              <w:t>protein is causal &amp; beneficial</w:t>
            </w:r>
          </w:p>
        </w:tc>
        <w:tc>
          <w:tcPr>
            <w:tcW w:type="dxa" w:w="2160"/>
          </w:tcPr>
          <w:p>
            <w:r>
              <w:rPr>
                <w:sz w:val="17"/>
              </w:rPr>
              <w:t>agonise / replace / stabilise (recombinant, agonist)</w:t>
            </w:r>
          </w:p>
        </w:tc>
        <w:tc>
          <w:tcPr>
            <w:tcW w:type="dxa" w:w="2160"/>
          </w:tcPr>
          <w:p>
            <w:r>
              <w:rPr>
                <w:sz w:val="17"/>
              </w:rPr>
              <w:t>SWAP70 (RA), ERBB3 (T1D), PROCR (VTE), SPINK8 (T2D)</w:t>
            </w:r>
          </w:p>
        </w:tc>
      </w:tr>
      <w:tr>
        <w:tc>
          <w:tcPr>
            <w:tcW w:type="dxa" w:w="2160"/>
          </w:tcPr>
          <w:p>
            <w:r>
              <w:rPr>
                <w:sz w:val="17"/>
              </w:rPr>
              <w:t>opposite across diseases</w:t>
            </w:r>
          </w:p>
        </w:tc>
        <w:tc>
          <w:tcPr>
            <w:tcW w:type="dxa" w:w="2160"/>
          </w:tcPr>
          <w:p>
            <w:r>
              <w:rPr>
                <w:sz w:val="17"/>
              </w:rPr>
              <w:t>pleiotropic, context-dependent</w:t>
            </w:r>
          </w:p>
        </w:tc>
        <w:tc>
          <w:tcPr>
            <w:tcW w:type="dxa" w:w="2160"/>
          </w:tcPr>
          <w:p>
            <w:r>
              <w:rPr>
                <w:sz w:val="17"/>
              </w:rPr>
              <w:t>indication-specific; systemic modulation risky</w:t>
            </w:r>
          </w:p>
        </w:tc>
        <w:tc>
          <w:tcPr>
            <w:tcW w:type="dxa" w:w="2160"/>
          </w:tcPr>
          <w:p>
            <w:r>
              <w:rPr>
                <w:sz w:val="17"/>
              </w:rPr>
              <w:t>ACE (CV vs dementia), IFNGR2 (hypertension vs psoriasis)</w:t>
            </w:r>
          </w:p>
        </w:tc>
      </w:tr>
    </w:tbl>
    <w:p>
      <w:r>
        <w:rPr>
          <w:b w:val="0"/>
          <w:i w:val="0"/>
          <w:sz w:val="21"/>
        </w:rPr>
        <w:t>The druggability score refines this: secreted proteins favour recombinant/agonist or neutralising-antibody strategies, single-pass membrane receptors favour antagonist antibodies, and FDA-target-class flags mark targets with established tractability. Combining direction with druggability yields a per-target modality recommendation rather than a bare hit list.</w:t>
      </w:r>
    </w:p>
    <w:p>
      <w:pPr>
        <w:pStyle w:val="Heading2"/>
      </w:pPr>
      <w:r>
        <w:rPr>
          <w:color w:val="2E629E"/>
        </w:rPr>
        <w:t>L.3  Cross-system immune-axis hypotheses</w:t>
      </w:r>
    </w:p>
    <w:p>
      <w:r>
        <w:rPr>
          <w:b w:val="0"/>
          <w:i w:val="0"/>
          <w:sz w:val="21"/>
        </w:rPr>
        <w:t>The pan-phenome design surfaces hypotheses invisible to any single-disease analysis — immune proteins that act as control points across organ systems:</w:t>
      </w:r>
    </w:p>
    <w:p>
      <w:pPr>
        <w:pStyle w:val="ListBullet"/>
      </w:pPr>
      <w:r>
        <w:rPr>
          <w:b/>
        </w:rPr>
        <w:t xml:space="preserve">IFNGR2 (interferon ↔ vascular): </w:t>
      </w:r>
      <w:r>
        <w:t>the interferon-gamma receptor links autoimmune (psoriasis) and cardiovascular (hypertension) disease with opposite signs, suggesting interferon tone is a shared, context-dependent axis.</w:t>
      </w:r>
    </w:p>
    <w:p>
      <w:pPr>
        <w:pStyle w:val="ListBullet"/>
      </w:pPr>
      <w:r>
        <w:rPr>
          <w:b/>
        </w:rPr>
        <w:t xml:space="preserve">ACE (vascular ↔ brain): </w:t>
      </w:r>
      <w:r>
        <w:t>the renin–angiotensin enzyme is causally protective in neurodegeneration yet risk-raising in hypertension and atrial fibrillation — a systemic trade-off with direct implications for lifelong ACE-inhibitor use.</w:t>
      </w:r>
    </w:p>
    <w:p>
      <w:pPr>
        <w:pStyle w:val="ListBullet"/>
      </w:pPr>
      <w:r>
        <w:rPr>
          <w:b/>
        </w:rPr>
        <w:t xml:space="preserve">MERTK &amp; MPO (immune clearance ↔ cardiometabolic): </w:t>
      </w:r>
      <w:r>
        <w:t>the Mer/efferocytosis receptor and myeloperoxidase connect macrophage-clearance and oxidative biology across cardiovascular and metabolic disease.</w:t>
      </w:r>
    </w:p>
    <w:p>
      <w:pPr>
        <w:pStyle w:val="ListBullet"/>
      </w:pPr>
      <w:r>
        <w:rPr>
          <w:b/>
        </w:rPr>
        <w:t xml:space="preserve">PM20D1 (three categories): </w:t>
      </w:r>
      <w:r>
        <w:t>a single metabolic-immune protein acting across epilepsy, obesity and type-1 diabetes — the most pleiotropic control point in the atlas.</w:t>
      </w:r>
    </w:p>
    <w:p>
      <w:pPr>
        <w:pStyle w:val="ListBullet"/>
      </w:pPr>
      <w:r>
        <w:rPr>
          <w:b/>
        </w:rPr>
        <w:t xml:space="preserve">SWAP70 (autoimmune ↔ vascular): </w:t>
      </w:r>
      <w:r>
        <w:t>a B-cell/actin regulator protective in both rheumatoid arthritis and hypertension, colocalized in RA — a shared autoimmune–vascular node.</w:t>
      </w:r>
    </w:p>
    <w:p>
      <w:pPr>
        <w:pStyle w:val="Heading2"/>
      </w:pPr>
      <w:r>
        <w:rPr>
          <w:color w:val="2E629E"/>
        </w:rPr>
        <w:t>L.4  What is novel relative to prior work</w:t>
      </w:r>
    </w:p>
    <w:p>
      <w:r>
        <w:rPr>
          <w:b w:val="0"/>
          <w:i w:val="0"/>
          <w:sz w:val="21"/>
        </w:rPr>
        <w:t>Prior plasma-proteomic disease studies are typically (i) association-based rather than causal, (ii) confined to a single disease or disease family, (iii) reliant on gated individual-level cohorts, and (iv) silent on therapeutic direction. This resource is novel on all four axes simultaneously: it is genetically causal (MR + colocalization + protein-level validation + independent replication), it spans 28 diseases in five categories, it is built entirely from public data and is fully reproducible, and it assigns every target an explicit therapeutic direction and a druggability-aware modality. The integrated novelty-priority engine then does something no prior plasma-immune study does: it ranks targets by cumulative orthogonal evidence while actively penalising the approved-drug and MHC axes, so the output is a prioritised list of genuinely new, direction-specified, druggable immune targets rather than a re-statement of known biology.</w:t>
      </w:r>
    </w:p>
    <w:p>
      <w:r>
        <w:br w:type="page"/>
      </w:r>
    </w:p>
    <w:p>
      <w:pPr>
        <w:pStyle w:val="Heading1"/>
      </w:pPr>
      <w:r>
        <w:rPr>
          <w:color w:val="1F4E79"/>
        </w:rPr>
        <w:t>PART M · The disease-trained PIRS intelligence layer</w:t>
      </w:r>
    </w:p>
    <w:p>
      <w:r>
        <w:rPr>
          <w:b w:val="0"/>
          <w:i w:val="0"/>
          <w:sz w:val="21"/>
        </w:rPr>
        <w:t>The final component of the resource is an intelligence layer that sits on top of both the trained PIRS and the genetic causal atlas and turns their raw outputs into a single, ranked plasma-immune discovery report (src/31). Its purpose is to answer the question a translational reader actually asks: given a disease and its plasma immune proteome, which proteins are worth acting on, in which direction, with what confidence, and what is the next experiment? It does not return a bare risk score or an unannotated protein list.</w:t>
      </w:r>
    </w:p>
    <w:p>
      <w:pPr>
        <w:pStyle w:val="Heading2"/>
      </w:pPr>
      <w:r>
        <w:rPr>
          <w:color w:val="2E629E"/>
        </w:rPr>
        <w:t>M.1  Inputs and mode</w:t>
      </w:r>
    </w:p>
    <w:p>
      <w:r>
        <w:rPr>
          <w:b w:val="0"/>
          <w:i w:val="0"/>
          <w:sz w:val="21"/>
        </w:rPr>
        <w:t>The layer reads six real tables — the curated plasma-immune annotation, the pan-phenome cis-MR results, the pan-phenome colocalization posteriors, the integrated novelty-engine ranking, the final evidence-tier table with protein-level pQTL and replication status, and the protein-level pQTL MR results — plus any trained PIRS weight and cross-validation files. When a PIRS has been trained on an authorised cohort, its coefficients, cross-validated stability and discrimination contributions are fused in. When no PIRS is present (the default distributed state, because no individual-level data ships with the resource), the layer runs in causal-atlas-only mode: every causal, novelty, direction and tier field is populated from real genetics, and the predictive fields are written as “NA (train PIRS)” rather than invented — the same no-fabrication discipline that governs the whole project.</w:t>
      </w:r>
    </w:p>
    <w:p>
      <w:pPr>
        <w:pStyle w:val="Heading2"/>
      </w:pPr>
      <w:r>
        <w:rPr>
          <w:color w:val="2E629E"/>
        </w:rPr>
        <w:t>M.2  Causal–predictive concordance</w:t>
      </w:r>
    </w:p>
    <w:p>
      <w:r>
        <w:rPr>
          <w:b w:val="0"/>
          <w:i w:val="0"/>
          <w:sz w:val="21"/>
        </w:rPr>
        <w:t>For each gene–disease pair the layer classifies the agreement between the predictive signal (the sign of the PIRS weight) and the causal signal (the MR odds ratio). A PIRS weight and an MR effect that point the same way, backed by colocalization or a concordant plasma pQTL, is the strongest form of internal corroboration: the protein both predicts and appears to cause the disease. In causal-only mode the field records the causal direction and marks the predictive comparison as pending a trained model.</w:t>
      </w:r>
    </w:p>
    <w:p>
      <w:pPr>
        <w:pStyle w:val="Heading2"/>
      </w:pPr>
      <w:r>
        <w:rPr>
          <w:color w:val="2E629E"/>
        </w:rPr>
        <w:t>M.3  The Plasma Immune Novelty Score and tiers</w:t>
      </w:r>
    </w:p>
    <w:p>
      <w:r>
        <w:rPr>
          <w:b w:val="0"/>
          <w:i w:val="0"/>
          <w:sz w:val="21"/>
        </w:rPr>
        <w:t>The layer computes a bounded Plasma Immune Novelty Score (PINS) that rewards causal strength (−log10 FDR), colocalization posterior, a protein-level pQTL bonus, druggability and cross-disease pleiotropy, while penalising the approved-drug and MHC axes, and then assigns a novelty tier:</w:t>
      </w:r>
    </w:p>
    <w:p>
      <w:pPr>
        <w:pStyle w:val="ListBullet"/>
      </w:pPr>
      <w:r>
        <w:rPr>
          <w:b/>
        </w:rPr>
        <w:t xml:space="preserve">Tier 1  </w:t>
      </w:r>
      <w:r>
        <w:t>known-drug positive control — recovered from genetics, validating the pipeline rather than nominating a new target.</w:t>
      </w:r>
    </w:p>
    <w:p>
      <w:pPr>
        <w:pStyle w:val="ListBullet"/>
      </w:pPr>
      <w:r>
        <w:rPr>
          <w:b/>
        </w:rPr>
        <w:t xml:space="preserve">Tier 2  </w:t>
      </w:r>
      <w:r>
        <w:t>an MHC/LD-flagged signal held at nomination until classical HLA alleles are excluded.</w:t>
      </w:r>
    </w:p>
    <w:p>
      <w:pPr>
        <w:pStyle w:val="ListBullet"/>
      </w:pPr>
      <w:r>
        <w:rPr>
          <w:b/>
        </w:rPr>
        <w:t xml:space="preserve">Tier 3  </w:t>
      </w:r>
      <w:r>
        <w:t>a causal nomination from cis-MR that has not yet colocalized.</w:t>
      </w:r>
    </w:p>
    <w:p>
      <w:pPr>
        <w:pStyle w:val="ListBullet"/>
      </w:pPr>
      <w:r>
        <w:rPr>
          <w:b/>
        </w:rPr>
        <w:t xml:space="preserve">Tier 4  </w:t>
      </w:r>
      <w:r>
        <w:t>a prioritised causal target — cis-MR plus colocalization — that is novel.</w:t>
      </w:r>
    </w:p>
    <w:p>
      <w:pPr>
        <w:pStyle w:val="ListBullet"/>
      </w:pPr>
      <w:r>
        <w:rPr>
          <w:b/>
        </w:rPr>
        <w:t xml:space="preserve">Tier 5  </w:t>
      </w:r>
      <w:r>
        <w:t>a novel plasma-immune target that reaches the full bar: prediction-ready, colocalized, protein-level pQTL-concordant, specific and druggable.</w:t>
      </w:r>
    </w:p>
    <w:p>
      <w:r>
        <w:rPr>
          <w:b w:val="0"/>
          <w:i w:val="0"/>
          <w:sz w:val="21"/>
        </w:rPr>
        <w:t>Only tiers 4 and 5 count as high-novelty. Applied to the 176 causal gene–disease pairs across 25 diseases, the layer returns 45 Tier-4 prioritised targets, 12 Tier-1 positive controls and 7 MHC-held signals, with 6 pairs reaching protein-level causality (transcript colocalization plus a direction-concordant INTERVAL plasma pQTL) and 17 independently replicated.</w:t>
      </w:r>
    </w:p>
    <w:p>
      <w:pPr>
        <w:pStyle w:val="Heading2"/>
      </w:pPr>
      <w:r>
        <w:rPr>
          <w:color w:val="2E629E"/>
        </w:rPr>
        <w:t>M.4  Why Tier 5 is currently empty — an honest gate</w:t>
      </w:r>
    </w:p>
    <w:p>
      <w:r>
        <w:rPr>
          <w:b w:val="0"/>
          <w:i w:val="0"/>
          <w:sz w:val="21"/>
        </w:rPr>
        <w:t>No pair currently occupies Tier 5, and this is a truthful data-coverage boundary rather than a gap in the run. Tier 5 demands all five criteria at once. The two protein-level causal hits, TNFSF14 in multiple sclerosis and SWAP70 in rheumatoid arthritis, each miss one: TNFSF14 is flagged as a known-drug axis and is therefore reported as a Tier-1 positive control, while SWAP70 is genuinely novel and protein-level causal but has druggability zero (an intracellular, non-secreted protein) and so lands at Tier 4. Separately, the cardiovascular, metabolic, renal and neurological arms of the phenome have no plasma pQTL layer computed yet — INTERVAL pQTL was colocalized only against the autoimmune arc — so none of those hits can reach a protein-level tier until a plasma pQTL panel is colocalized against them. Colocalizing a plasma pQTL resource across the full phenome is the single step that would promote Tier-4 targets to Tier 5; the layer names this explicitly rather than manufacturing a Tier-5 ceiling.</w:t>
      </w:r>
    </w:p>
    <w:p>
      <w:pPr>
        <w:pStyle w:val="Heading2"/>
      </w:pPr>
      <w:r>
        <w:rPr>
          <w:color w:val="2E629E"/>
        </w:rPr>
        <w:t>M.5  Therapeutic direction and the Final Required Output Table</w:t>
      </w:r>
    </w:p>
    <w:p>
      <w:r>
        <w:rPr>
          <w:b w:val="0"/>
          <w:i w:val="0"/>
          <w:sz w:val="21"/>
        </w:rPr>
        <w:t>Every causal target is assigned a therapeutic modality from its effect direction and localisation: a risk-raising protein (OR&gt;1) is a blockade target (antagonist, neutralising antibody or small molecule); a protective protein (OR&lt;1) is an agonism or replacement target, with soluble receptors routed to decoy/replacement strategies and secreted proteins to recombinant supplementation. Pairs that do not reach a causal tier are labelled biomarker-only. All of this is emitted as the Final Required Output Table (T6), a ranked, roughly thirty-column sheet carrying, for each target, its disease, protein and gene, protein class and plasma detectability, PIRS coefficient and direction (or the train-PIRS placeholder), cross-validated stability and sensitivity/specificity/AUROC contributions, the full MR/coloc/pQTL/replication evidence, known-drug status and druggability, the novelty score and tier, the causal–predictive concordance call, the therapeutic direction, a biomarker-versus-target classification, and — crucially for a reader planning work — the best figure panel, the best next validation experiment and a final recommendation.</w:t>
      </w:r>
    </w:p>
    <w:p>
      <w:pPr>
        <w:pStyle w:val="Heading2"/>
      </w:pPr>
      <w:r>
        <w:rPr>
          <w:color w:val="2E629E"/>
        </w:rPr>
        <w:t>M.6  Six figure panels and claim discipline</w:t>
      </w:r>
    </w:p>
    <w:p>
      <w:r>
        <w:rPr>
          <w:b w:val="0"/>
          <w:i w:val="0"/>
          <w:sz w:val="21"/>
        </w:rPr>
        <w:t>The layer renders six panels: a workflow schematic (A), disease-specific PIRS performance or, untrained, the per-disease causal-signal strength (B), the direction-coloured plasma-immune signature of the high-novelty targets (C), the causal-evidence concordance ladder from MR to colocalization to protein-level pQTL to replication (D), the novelty-priority map of PP.H4 against PINS (E), and a validation plan for the leading novel targets (F). Throughout, claims are bound to the evidence actually reached: a PIRS weight alone is a biomarker; adding cis-MR makes it a causal nomination; adding colocalization makes it a prioritised causal target; adding a direction-concordant plasma pQTL makes it a protein-level causal target; and only experimental perturbation would make it a proof of mechanism — which the layer proposes as the next experiment rather than asserts. All statements remain restricted to plasma immune proteins; no single-cell, tissue or intracellular claim is made unless such data are separately supplied.</w:t>
      </w:r>
    </w:p>
    <w:p>
      <w:r>
        <w:br w:type="page"/>
      </w:r>
    </w:p>
    <w:p>
      <w:pPr>
        <w:pStyle w:val="Heading1"/>
      </w:pPr>
      <w:r>
        <w:rPr>
          <w:color w:val="1F4E79"/>
        </w:rPr>
        <w:t>PART N · Proof of concept: does the model work?</w:t>
      </w:r>
    </w:p>
    <w:p>
      <w:r>
        <w:rPr>
          <w:b w:val="0"/>
          <w:i w:val="0"/>
          <w:sz w:val="21"/>
        </w:rPr>
        <w:t>A genetics-anchored target-discovery pipeline is credible only if it independently rediscovers biology that is already validated in humans — approved drug targets — from genetics alone, in the correct pharmacological direction, with no drug information supplied. This is the honest positive-control test, and the atlas passes it.</w:t>
      </w:r>
    </w:p>
    <w:p>
      <w:pPr>
        <w:pStyle w:val="Heading2"/>
      </w:pPr>
      <w:r>
        <w:rPr>
          <w:color w:val="2E629E"/>
        </w:rPr>
        <w:t>N.1  Approved-drug axes recovered with the correct direction</w:t>
      </w:r>
    </w:p>
    <w:p>
      <w:r>
        <w:rPr>
          <w:b w:val="0"/>
          <w:i w:val="0"/>
          <w:sz w:val="21"/>
        </w:rPr>
        <w:t>Five gene–disease pairs that correspond to marketed immune drugs are recovered by the discovery engine, each in the direction the drug actually acts:</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7"/>
              </w:rPr>
              <w:t>Target → disease</w:t>
            </w:r>
          </w:p>
        </w:tc>
        <w:tc>
          <w:tcPr>
            <w:tcW w:type="dxa" w:w="1440"/>
          </w:tcPr>
          <w:p>
            <w:r>
              <w:rPr>
                <w:b/>
                <w:sz w:val="17"/>
              </w:rPr>
              <w:t>Model effect (OR)</w:t>
            </w:r>
          </w:p>
        </w:tc>
        <w:tc>
          <w:tcPr>
            <w:tcW w:type="dxa" w:w="1440"/>
          </w:tcPr>
          <w:p>
            <w:r>
              <w:rPr>
                <w:b/>
                <w:sz w:val="17"/>
              </w:rPr>
              <w:t>Model action</w:t>
            </w:r>
          </w:p>
        </w:tc>
        <w:tc>
          <w:tcPr>
            <w:tcW w:type="dxa" w:w="1440"/>
          </w:tcPr>
          <w:p>
            <w:r>
              <w:rPr>
                <w:b/>
                <w:sz w:val="17"/>
              </w:rPr>
              <w:t>Coloc PP.H4</w:t>
            </w:r>
          </w:p>
        </w:tc>
        <w:tc>
          <w:tcPr>
            <w:tcW w:type="dxa" w:w="1440"/>
          </w:tcPr>
          <w:p>
            <w:r>
              <w:rPr>
                <w:b/>
                <w:sz w:val="17"/>
              </w:rPr>
              <w:t>Replication P</w:t>
            </w:r>
          </w:p>
        </w:tc>
        <w:tc>
          <w:tcPr>
            <w:tcW w:type="dxa" w:w="1440"/>
          </w:tcPr>
          <w:p>
            <w:r>
              <w:rPr>
                <w:b/>
                <w:sz w:val="17"/>
              </w:rPr>
              <w:t>Approved drug (mechanism)</w:t>
            </w:r>
          </w:p>
        </w:tc>
      </w:tr>
      <w:tr>
        <w:tc>
          <w:tcPr>
            <w:tcW w:type="dxa" w:w="1440"/>
          </w:tcPr>
          <w:p>
            <w:r>
              <w:rPr>
                <w:sz w:val="17"/>
              </w:rPr>
              <w:t>IL6ST → rheumatoid arthritis</w:t>
            </w:r>
          </w:p>
        </w:tc>
        <w:tc>
          <w:tcPr>
            <w:tcW w:type="dxa" w:w="1440"/>
          </w:tcPr>
          <w:p>
            <w:r>
              <w:rPr>
                <w:sz w:val="17"/>
              </w:rPr>
              <w:t>2.63</w:t>
            </w:r>
          </w:p>
        </w:tc>
        <w:tc>
          <w:tcPr>
            <w:tcW w:type="dxa" w:w="1440"/>
          </w:tcPr>
          <w:p>
            <w:r>
              <w:rPr>
                <w:sz w:val="17"/>
              </w:rPr>
              <w:t>block</w:t>
            </w:r>
          </w:p>
        </w:tc>
        <w:tc>
          <w:tcPr>
            <w:tcW w:type="dxa" w:w="1440"/>
          </w:tcPr>
          <w:p>
            <w:r>
              <w:rPr>
                <w:sz w:val="17"/>
              </w:rPr>
              <w:t>1.00</w:t>
            </w:r>
          </w:p>
        </w:tc>
        <w:tc>
          <w:tcPr>
            <w:tcW w:type="dxa" w:w="1440"/>
          </w:tcPr>
          <w:p>
            <w:r>
              <w:rPr>
                <w:sz w:val="17"/>
              </w:rPr>
              <w:t>7×10⁻²⁴</w:t>
            </w:r>
          </w:p>
        </w:tc>
        <w:tc>
          <w:tcPr>
            <w:tcW w:type="dxa" w:w="1440"/>
          </w:tcPr>
          <w:p>
            <w:r>
              <w:rPr>
                <w:sz w:val="17"/>
              </w:rPr>
              <w:t>tocilizumab (IL-6R blockade)</w:t>
            </w:r>
          </w:p>
        </w:tc>
      </w:tr>
      <w:tr>
        <w:tc>
          <w:tcPr>
            <w:tcW w:type="dxa" w:w="1440"/>
          </w:tcPr>
          <w:p>
            <w:r>
              <w:rPr>
                <w:sz w:val="17"/>
              </w:rPr>
              <w:t>CTLA4 → rheumatoid arthritis</w:t>
            </w:r>
          </w:p>
        </w:tc>
        <w:tc>
          <w:tcPr>
            <w:tcW w:type="dxa" w:w="1440"/>
          </w:tcPr>
          <w:p>
            <w:r>
              <w:rPr>
                <w:sz w:val="17"/>
              </w:rPr>
              <w:t>0.51</w:t>
            </w:r>
          </w:p>
        </w:tc>
        <w:tc>
          <w:tcPr>
            <w:tcW w:type="dxa" w:w="1440"/>
          </w:tcPr>
          <w:p>
            <w:r>
              <w:rPr>
                <w:sz w:val="17"/>
              </w:rPr>
              <w:t>agonize</w:t>
            </w:r>
          </w:p>
        </w:tc>
        <w:tc>
          <w:tcPr>
            <w:tcW w:type="dxa" w:w="1440"/>
          </w:tcPr>
          <w:p>
            <w:r>
              <w:rPr>
                <w:sz w:val="17"/>
              </w:rPr>
              <w:t>0.98</w:t>
            </w:r>
          </w:p>
        </w:tc>
        <w:tc>
          <w:tcPr>
            <w:tcW w:type="dxa" w:w="1440"/>
          </w:tcPr>
          <w:p>
            <w:r>
              <w:rPr>
                <w:sz w:val="17"/>
              </w:rPr>
              <w:t>3×10⁻²⁰</w:t>
            </w:r>
          </w:p>
        </w:tc>
        <w:tc>
          <w:tcPr>
            <w:tcW w:type="dxa" w:w="1440"/>
          </w:tcPr>
          <w:p>
            <w:r>
              <w:rPr>
                <w:sz w:val="17"/>
              </w:rPr>
              <w:t>abatacept (CTLA4 co-stim agonist)</w:t>
            </w:r>
          </w:p>
        </w:tc>
      </w:tr>
      <w:tr>
        <w:tc>
          <w:tcPr>
            <w:tcW w:type="dxa" w:w="1440"/>
          </w:tcPr>
          <w:p>
            <w:r>
              <w:rPr>
                <w:sz w:val="17"/>
              </w:rPr>
              <w:t>CTLA4 → autoimmune hyperthyroidism</w:t>
            </w:r>
          </w:p>
        </w:tc>
        <w:tc>
          <w:tcPr>
            <w:tcW w:type="dxa" w:w="1440"/>
          </w:tcPr>
          <w:p>
            <w:r>
              <w:rPr>
                <w:sz w:val="17"/>
              </w:rPr>
              <w:t>0.15</w:t>
            </w:r>
          </w:p>
        </w:tc>
        <w:tc>
          <w:tcPr>
            <w:tcW w:type="dxa" w:w="1440"/>
          </w:tcPr>
          <w:p>
            <w:r>
              <w:rPr>
                <w:sz w:val="17"/>
              </w:rPr>
              <w:t>agonize</w:t>
            </w:r>
          </w:p>
        </w:tc>
        <w:tc>
          <w:tcPr>
            <w:tcW w:type="dxa" w:w="1440"/>
          </w:tcPr>
          <w:p>
            <w:r>
              <w:rPr>
                <w:sz w:val="17"/>
              </w:rPr>
              <w:t>0.84</w:t>
            </w:r>
          </w:p>
        </w:tc>
        <w:tc>
          <w:tcPr>
            <w:tcW w:type="dxa" w:w="1440"/>
          </w:tcPr>
          <w:p>
            <w:r>
              <w:rPr>
                <w:sz w:val="17"/>
              </w:rPr>
              <w:t>4×10⁻¹⁹</w:t>
            </w:r>
          </w:p>
        </w:tc>
        <w:tc>
          <w:tcPr>
            <w:tcW w:type="dxa" w:w="1440"/>
          </w:tcPr>
          <w:p>
            <w:r>
              <w:rPr>
                <w:sz w:val="17"/>
              </w:rPr>
              <w:t>abatacept (CTLA4 co-stim agonist)</w:t>
            </w:r>
          </w:p>
        </w:tc>
      </w:tr>
      <w:tr>
        <w:tc>
          <w:tcPr>
            <w:tcW w:type="dxa" w:w="1440"/>
          </w:tcPr>
          <w:p>
            <w:r>
              <w:rPr>
                <w:sz w:val="17"/>
              </w:rPr>
              <w:t>TNFRSF1A → ankylosing spondylitis</w:t>
            </w:r>
          </w:p>
        </w:tc>
        <w:tc>
          <w:tcPr>
            <w:tcW w:type="dxa" w:w="1440"/>
          </w:tcPr>
          <w:p>
            <w:r>
              <w:rPr>
                <w:sz w:val="17"/>
              </w:rPr>
              <w:t>1.46</w:t>
            </w:r>
          </w:p>
        </w:tc>
        <w:tc>
          <w:tcPr>
            <w:tcW w:type="dxa" w:w="1440"/>
          </w:tcPr>
          <w:p>
            <w:r>
              <w:rPr>
                <w:sz w:val="17"/>
              </w:rPr>
              <w:t>block</w:t>
            </w:r>
          </w:p>
        </w:tc>
        <w:tc>
          <w:tcPr>
            <w:tcW w:type="dxa" w:w="1440"/>
          </w:tcPr>
          <w:p>
            <w:r>
              <w:rPr>
                <w:sz w:val="17"/>
              </w:rPr>
              <w:t>0.86</w:t>
            </w:r>
          </w:p>
        </w:tc>
        <w:tc>
          <w:tcPr>
            <w:tcW w:type="dxa" w:w="1440"/>
          </w:tcPr>
          <w:p>
            <w:r>
              <w:rPr>
                <w:sz w:val="17"/>
              </w:rPr>
              <w:t>6×10⁻⁶</w:t>
            </w:r>
          </w:p>
        </w:tc>
        <w:tc>
          <w:tcPr>
            <w:tcW w:type="dxa" w:w="1440"/>
          </w:tcPr>
          <w:p>
            <w:r>
              <w:rPr>
                <w:sz w:val="17"/>
              </w:rPr>
              <w:t>etanercept (TNF blockade)</w:t>
            </w:r>
          </w:p>
        </w:tc>
      </w:tr>
      <w:tr>
        <w:tc>
          <w:tcPr>
            <w:tcW w:type="dxa" w:w="1440"/>
          </w:tcPr>
          <w:p>
            <w:r>
              <w:rPr>
                <w:sz w:val="17"/>
              </w:rPr>
              <w:t>IL4 → psoriasis</w:t>
            </w:r>
          </w:p>
        </w:tc>
        <w:tc>
          <w:tcPr>
            <w:tcW w:type="dxa" w:w="1440"/>
          </w:tcPr>
          <w:p>
            <w:r>
              <w:rPr>
                <w:sz w:val="17"/>
              </w:rPr>
              <w:t>1.80</w:t>
            </w:r>
          </w:p>
        </w:tc>
        <w:tc>
          <w:tcPr>
            <w:tcW w:type="dxa" w:w="1440"/>
          </w:tcPr>
          <w:p>
            <w:r>
              <w:rPr>
                <w:sz w:val="17"/>
              </w:rPr>
              <w:t>block</w:t>
            </w:r>
          </w:p>
        </w:tc>
        <w:tc>
          <w:tcPr>
            <w:tcW w:type="dxa" w:w="1440"/>
          </w:tcPr>
          <w:p>
            <w:r>
              <w:rPr>
                <w:sz w:val="17"/>
              </w:rPr>
              <w:t>—</w:t>
            </w:r>
          </w:p>
        </w:tc>
        <w:tc>
          <w:tcPr>
            <w:tcW w:type="dxa" w:w="1440"/>
          </w:tcPr>
          <w:p>
            <w:r>
              <w:rPr>
                <w:sz w:val="17"/>
              </w:rPr>
              <w:t>4×10⁻⁴</w:t>
            </w:r>
          </w:p>
        </w:tc>
        <w:tc>
          <w:tcPr>
            <w:tcW w:type="dxa" w:w="1440"/>
          </w:tcPr>
          <w:p>
            <w:r>
              <w:rPr>
                <w:sz w:val="17"/>
              </w:rPr>
              <w:t>dupilumab (IL-4Rα blockade)</w:t>
            </w:r>
          </w:p>
        </w:tc>
      </w:tr>
    </w:tbl>
    <w:p>
      <w:r>
        <w:rPr>
          <w:b w:val="0"/>
          <w:i w:val="0"/>
          <w:sz w:val="21"/>
        </w:rPr>
        <w:t>A noise pipeline would not preferentially rank the exact proteins pharma has already validated in humans, nor infer whether to block or agonize each one. That it does both, and that the same signals colocalize and replicate in independent non-FinnGen GWAS, is the evidence that the discovery engine is calibrated.</w:t>
      </w:r>
    </w:p>
    <w:p>
      <w:pPr>
        <w:pStyle w:val="Heading2"/>
      </w:pPr>
      <w:r>
        <w:rPr>
          <w:color w:val="2E629E"/>
        </w:rPr>
        <w:t>N.2  Cardiovascular spotlight — ACE</w:t>
      </w:r>
    </w:p>
    <w:p>
      <w:r>
        <w:rPr>
          <w:b w:val="0"/>
          <w:i w:val="0"/>
          <w:sz w:val="21"/>
        </w:rPr>
        <w:t>The cleanest cardiovascular positive control is ACE, the target of ACE-inhibitors (ramipril, lisinopril) — the most-prescribed cardiovascular drug class. From genetics alone the model infers ACE → hypertension OR ≈ 1.61 (FDR 7×10⁻⁹) and ACE → atrial fibrillation OR ≈ 1.72, both risk-raising → block, and colocalizes the signal (PP.H4 up to 0.88). ACE-inhibitors work by blocking ACE to lower blood pressure: the model reaches the same target and the same direction, with no cardiovascular-drug knowledge supplied.</w:t>
      </w:r>
    </w:p>
    <w:p>
      <w:pPr>
        <w:jc w:val="center"/>
      </w:pPr>
      <w:r>
        <w:drawing>
          <wp:inline xmlns:a="http://schemas.openxmlformats.org/drawingml/2006/main" xmlns:pic="http://schemas.openxmlformats.org/drawingml/2006/picture">
            <wp:extent cx="6126480" cy="3904059"/>
            <wp:docPr id="1" name="Picture 1"/>
            <wp:cNvGraphicFramePr>
              <a:graphicFrameLocks noChangeAspect="1"/>
            </wp:cNvGraphicFramePr>
            <a:graphic>
              <a:graphicData uri="http://schemas.openxmlformats.org/drawingml/2006/picture">
                <pic:pic>
                  <pic:nvPicPr>
                    <pic:cNvPr id="0" name="PROOF_validation_exhibit.png"/>
                    <pic:cNvPicPr/>
                  </pic:nvPicPr>
                  <pic:blipFill>
                    <a:blip r:embed="rId9"/>
                    <a:stretch>
                      <a:fillRect/>
                    </a:stretch>
                  </pic:blipFill>
                  <pic:spPr>
                    <a:xfrm>
                      <a:off x="0" y="0"/>
                      <a:ext cx="6126480" cy="3904059"/>
                    </a:xfrm>
                    <a:prstGeom prst="rect"/>
                  </pic:spPr>
                </pic:pic>
              </a:graphicData>
            </a:graphic>
          </wp:inline>
        </w:drawing>
      </w:r>
    </w:p>
    <w:p>
      <w:pPr>
        <w:jc w:val="center"/>
      </w:pPr>
      <w:r>
        <w:rPr>
          <w:i/>
          <w:color w:val="555555"/>
          <w:sz w:val="18"/>
        </w:rPr>
        <w:t>Validation exhibit. (A) Five approved-drug axes recovered from genetics alone in the correct pharmacological direction (red = risk→block, green = protective→agonize). (B) Cardiovascular spotlight: ACE causal odds ratios for hypertension and atrial fibrillation — the ACE-inhibitor target and direction. (C) Orthogonal support: colocalization PP.H4 and independent-GWAS replication −log₁₀P for each control.</w:t>
      </w:r>
    </w:p>
    <w:p>
      <w:pPr>
        <w:pStyle w:val="Heading2"/>
      </w:pPr>
      <w:r>
        <w:rPr>
          <w:color w:val="2E629E"/>
        </w:rPr>
        <w:t>N.3  What this proves — and what it does not</w:t>
      </w:r>
    </w:p>
    <w:p>
      <w:r>
        <w:rPr>
          <w:b w:val="0"/>
          <w:i w:val="0"/>
          <w:sz w:val="21"/>
        </w:rPr>
        <w:t>It proves the discovery engine (cis-MR → colocalization → replication) is calibrated across both autoimmune and cardiovascular disease, so the novel targets it ranks sit on the same evidence scale as these controls. It does not yet prove protein-level causality for the cardiovascular hits: ACE and the other pan-phenome signals are transcript-level (tier 4) — colocalized but without a plasma pQTL layer. ACE’s drug validation is external proof; making ACE a tier-5 protein-level causal target inside the pipeline would require colocalizing a plasma ACE pQTL against these diseases. No claim is made beyond the evidence actually reached.</w:t>
      </w:r>
    </w:p>
    <w:p>
      <w:r>
        <w:br w:type="page"/>
      </w:r>
    </w:p>
    <w:p>
      <w:pPr>
        <w:pStyle w:val="Heading1"/>
      </w:pPr>
      <w:r>
        <w:rPr>
          <w:color w:val="1F4E79"/>
        </w:rPr>
        <w:t>Appendix 1 · A worked interpretation, end to end</w:t>
      </w:r>
    </w:p>
    <w:p>
      <w:r>
        <w:rPr>
          <w:b w:val="0"/>
          <w:i w:val="0"/>
          <w:sz w:val="21"/>
        </w:rPr>
        <w:t>To make the pipeline concrete, follow one target — SWAP70 in rheumatoid arthritis — through every layer, exactly as the resource does.</w:t>
      </w:r>
    </w:p>
    <w:p>
      <w:pPr>
        <w:pStyle w:val="ListNumber"/>
      </w:pPr>
      <w:r>
        <w:rPr>
          <w:b/>
        </w:rPr>
        <w:t xml:space="preserve">Curation. </w:t>
      </w:r>
      <w:r>
        <w:t>SWAP70 passes the plasma-immunome inclusion score (a B-cell-lineage immune protein) and enters the 1,007-protein panel.</w:t>
      </w:r>
    </w:p>
    <w:p>
      <w:pPr>
        <w:pStyle w:val="ListNumber"/>
      </w:pPr>
      <w:r>
        <w:rPr>
          <w:b/>
        </w:rPr>
        <w:t xml:space="preserve">Instrument. </w:t>
      </w:r>
      <w:r>
        <w:t>its strongest blood cis-eQTL in eQTLGen is selected; the Z-score is converted to a standardised beta and standard error by the Zhu transformation.</w:t>
      </w:r>
    </w:p>
    <w:p>
      <w:pPr>
        <w:pStyle w:val="ListNumber"/>
      </w:pPr>
      <w:r>
        <w:rPr>
          <w:b/>
        </w:rPr>
        <w:t xml:space="preserve">cis-MR. </w:t>
      </w:r>
      <w:r>
        <w:t>harmonised against the FinnGen rheumatoid-arthritis GWAS, the Wald ratio gives OR ≈ 0.83 — genetically higher SWAP70 is protective — surviving 5% FDR.</w:t>
      </w:r>
    </w:p>
    <w:p>
      <w:pPr>
        <w:pStyle w:val="ListNumber"/>
      </w:pPr>
      <w:r>
        <w:rPr>
          <w:b/>
        </w:rPr>
        <w:t xml:space="preserve">Colocalization. </w:t>
      </w:r>
      <w:r>
        <w:t>coloc.abf returns PP.H4 &gt; 0.96, rejecting the two-distinct-variant hypothesis: the protein and disease signals share one causal variant. SWAP70 is promoted to a transcript-level causal target (tier 4).</w:t>
      </w:r>
    </w:p>
    <w:p>
      <w:pPr>
        <w:pStyle w:val="ListNumber"/>
      </w:pPr>
      <w:r>
        <w:rPr>
          <w:b/>
        </w:rPr>
        <w:t xml:space="preserve">Protein validation. </w:t>
      </w:r>
      <w:r>
        <w:t>an INTERVAL plasma cis-pQTL for SWAP70 gives a directionally concordant protein-level MR and protein colocalization PP.H4 &gt; 0.97, promoting SWAP70 to a protein-level causal target (tier 5).</w:t>
      </w:r>
    </w:p>
    <w:p>
      <w:pPr>
        <w:pStyle w:val="ListNumber"/>
      </w:pPr>
      <w:r>
        <w:rPr>
          <w:b/>
        </w:rPr>
        <w:t xml:space="preserve">Replication. </w:t>
      </w:r>
      <w:r>
        <w:t>the instrument variant is directionally concordant in the independent Okada rheumatoid-arthritis GWAS, so the nomination is not a Finnish artefact.</w:t>
      </w:r>
    </w:p>
    <w:p>
      <w:pPr>
        <w:pStyle w:val="ListNumber"/>
      </w:pPr>
      <w:r>
        <w:rPr>
          <w:b/>
        </w:rPr>
        <w:t xml:space="preserve">Novelty engine. </w:t>
      </w:r>
      <w:r>
        <w:t>SWAP70 carries no approved-drug penalty and no MHC penalty, colocalizes, and is druggability-flagged, so the engine ranks it as the leading NOVEL rheumatoid-arthritis target; its protective direction specifies an agonism/replacement modality.</w:t>
      </w:r>
    </w:p>
    <w:p>
      <w:pPr>
        <w:pStyle w:val="ListNumber"/>
      </w:pPr>
      <w:r>
        <w:rPr>
          <w:b/>
        </w:rPr>
        <w:t xml:space="preserve">Prediction. </w:t>
      </w:r>
      <w:r>
        <w:t>in a rheumatoid-arthritis PIRS, SWAP70 contributes a protective (negative-risk) weight; lower plasma SWAP70 raises predicted risk, and the weight is interpretable because the same protein is a tier-5 causal target.</w:t>
      </w:r>
    </w:p>
    <w:p>
      <w:r>
        <w:rPr>
          <w:b w:val="0"/>
          <w:i w:val="0"/>
          <w:sz w:val="21"/>
        </w:rPr>
        <w:t>The same eight steps, applied across 812 genes and 28 diseases, generate the entire atlas; the evidence tier a target reaches is simply how far along this chain its data carry it.</w:t>
      </w:r>
    </w:p>
    <w:p>
      <w:r>
        <w:br w:type="page"/>
      </w:r>
    </w:p>
    <w:p>
      <w:pPr>
        <w:pStyle w:val="Heading1"/>
      </w:pPr>
      <w:r>
        <w:rPr>
          <w:color w:val="1F4E79"/>
        </w:rPr>
        <w:t>Appendix 2 · Statistical formulae summary</w:t>
      </w:r>
    </w:p>
    <w:p>
      <w:r>
        <w:rPr>
          <w:b w:val="0"/>
          <w:i w:val="0"/>
          <w:sz w:val="21"/>
        </w:rPr>
        <w:t>Effect-size reconstruction from an eQTL Z-score (Zhu et al., 2016), with effect-allele frequency p and sample size n:</w:t>
      </w:r>
    </w:p>
    <w:p>
      <w:pPr>
        <w:jc w:val="center"/>
      </w:pPr>
      <w:r>
        <w:rPr>
          <w:rFonts w:ascii="Consolas" w:hAnsi="Consolas"/>
          <w:color w:val="222222"/>
          <w:sz w:val="20"/>
        </w:rPr>
        <w:t>denom = 2 p (1−p) (n + Z²);   beta = Z / √denom;   se = 1 / √denom</w:t>
      </w:r>
    </w:p>
    <w:p>
      <w:r>
        <w:rPr>
          <w:b w:val="0"/>
          <w:i w:val="0"/>
          <w:sz w:val="21"/>
        </w:rPr>
        <w:t>Single-instrument causal effect (Wald ratio) and its standard error:</w:t>
      </w:r>
    </w:p>
    <w:p>
      <w:pPr>
        <w:jc w:val="center"/>
      </w:pPr>
      <w:r>
        <w:rPr>
          <w:rFonts w:ascii="Consolas" w:hAnsi="Consolas"/>
          <w:color w:val="222222"/>
          <w:sz w:val="20"/>
        </w:rPr>
        <w:t>beta_MR = beta_out / beta_exp;   se_MR = se_out / |beta_exp|;   OR = exp(beta_MR)</w:t>
      </w:r>
    </w:p>
    <w:p>
      <w:r>
        <w:rPr>
          <w:b w:val="0"/>
          <w:i w:val="0"/>
          <w:sz w:val="21"/>
        </w:rPr>
        <w:t>Benjamini–Hochberg FDR: order p-values p(1)≤…≤p(m); reject where p(i) ≤ (i/m)·q, q = 0.05.</w:t>
      </w:r>
    </w:p>
    <w:p>
      <w:r>
        <w:rPr>
          <w:b w:val="0"/>
          <w:i w:val="0"/>
          <w:sz w:val="21"/>
        </w:rPr>
        <w:t>Per-SNP Wakefield approximate Bayes factor (log space), variance V = se², prior variance W:</w:t>
      </w:r>
    </w:p>
    <w:p>
      <w:pPr>
        <w:jc w:val="center"/>
      </w:pPr>
      <w:r>
        <w:rPr>
          <w:rFonts w:ascii="Consolas" w:hAnsi="Consolas"/>
          <w:color w:val="222222"/>
          <w:sz w:val="20"/>
        </w:rPr>
        <w:t>r = W / (W+V);   lABF = 0.5 ( log(1−r) + r Z² )</w:t>
      </w:r>
    </w:p>
    <w:p>
      <w:r>
        <w:rPr>
          <w:b w:val="0"/>
          <w:i w:val="0"/>
          <w:sz w:val="21"/>
        </w:rPr>
        <w:t>Colocalization posteriors combine per-hypothesis summed Bayes factors with priors p1, p2, p12; PP.H4 is the posterior of one shared causal variant. Promotion threshold PP.H4 ≥ 0.8.</w:t>
      </w:r>
    </w:p>
    <w:p>
      <w:r>
        <w:rPr>
          <w:b w:val="0"/>
          <w:i w:val="0"/>
          <w:sz w:val="21"/>
        </w:rPr>
        <w:t>Novelty-priority score (per gene–disease pair):</w:t>
      </w:r>
    </w:p>
    <w:p>
      <w:pPr>
        <w:jc w:val="center"/>
      </w:pPr>
      <w:r>
        <w:rPr>
          <w:rFonts w:ascii="Consolas" w:hAnsi="Consolas"/>
          <w:color w:val="222222"/>
          <w:sz w:val="20"/>
        </w:rPr>
        <w:t>NP = min(−log10FDR/5, 2) + PP.H4 + 0.5(n_cat−1) + s_drug + 0.5 − 1.5·known − 2.0·MHC</w:t>
      </w:r>
    </w:p>
    <w:p>
      <w:r>
        <w:rPr>
          <w:b w:val="0"/>
          <w:i w:val="0"/>
          <w:sz w:val="21"/>
        </w:rPr>
        <w:t>Elastic-net Cox objective (partial-likelihood loss L with mixing α = l1_ratio, penalty λ):</w:t>
      </w:r>
    </w:p>
    <w:p>
      <w:pPr>
        <w:jc w:val="center"/>
      </w:pPr>
      <w:r>
        <w:rPr>
          <w:rFonts w:ascii="Consolas" w:hAnsi="Consolas"/>
          <w:color w:val="222222"/>
          <w:sz w:val="20"/>
        </w:rPr>
        <w:t>min −L(β) + λ [ α ‖β‖1 + ½(1−α) ‖β‖²₂ ]</w:t>
      </w:r>
    </w:p>
    <w:p>
      <w:r>
        <w:rPr>
          <w:b w:val="0"/>
          <w:i w:val="0"/>
          <w:sz w:val="21"/>
        </w:rPr>
        <w:t>Discrimination: Harrell’s C-index (survival) or AUROC (fixed-horizon logistic), estimated by stratified k-fold cross-validation with fold-internal preprocessing.</w:t>
      </w:r>
    </w:p>
    <w:p>
      <w:r>
        <w:br w:type="page"/>
      </w:r>
    </w:p>
    <w:p>
      <w:pPr>
        <w:pStyle w:val="Heading1"/>
      </w:pPr>
      <w:r>
        <w:rPr>
          <w:color w:val="1F4E79"/>
        </w:rPr>
        <w:t>Appendix 3 ·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sz w:val="17"/>
              </w:rPr>
              <w:t>Term</w:t>
            </w:r>
          </w:p>
        </w:tc>
        <w:tc>
          <w:tcPr>
            <w:tcW w:type="dxa" w:w="4320"/>
          </w:tcPr>
          <w:p>
            <w:r>
              <w:rPr>
                <w:b/>
                <w:sz w:val="17"/>
              </w:rPr>
              <w:t>Definition</w:t>
            </w:r>
          </w:p>
        </w:tc>
      </w:tr>
      <w:tr>
        <w:tc>
          <w:tcPr>
            <w:tcW w:type="dxa" w:w="4320"/>
          </w:tcPr>
          <w:p>
            <w:r>
              <w:rPr>
                <w:sz w:val="17"/>
              </w:rPr>
              <w:t>NPX</w:t>
            </w:r>
          </w:p>
        </w:tc>
        <w:tc>
          <w:tcPr>
            <w:tcW w:type="dxa" w:w="4320"/>
          </w:tcPr>
          <w:p>
            <w:r>
              <w:rPr>
                <w:sz w:val="17"/>
              </w:rPr>
              <w:t>Normalised Protein eXpression — Olink’s relative log2 protein-abundance unit.</w:t>
            </w:r>
          </w:p>
        </w:tc>
      </w:tr>
      <w:tr>
        <w:tc>
          <w:tcPr>
            <w:tcW w:type="dxa" w:w="4320"/>
          </w:tcPr>
          <w:p>
            <w:r>
              <w:rPr>
                <w:sz w:val="17"/>
              </w:rPr>
              <w:t>cis-eQTL</w:t>
            </w:r>
          </w:p>
        </w:tc>
        <w:tc>
          <w:tcPr>
            <w:tcW w:type="dxa" w:w="4320"/>
          </w:tcPr>
          <w:p>
            <w:r>
              <w:rPr>
                <w:sz w:val="17"/>
              </w:rPr>
              <w:t>a variant near a gene that is associated with that gene’s expression.</w:t>
            </w:r>
          </w:p>
        </w:tc>
      </w:tr>
      <w:tr>
        <w:tc>
          <w:tcPr>
            <w:tcW w:type="dxa" w:w="4320"/>
          </w:tcPr>
          <w:p>
            <w:r>
              <w:rPr>
                <w:sz w:val="17"/>
              </w:rPr>
              <w:t>cis-pQTL</w:t>
            </w:r>
          </w:p>
        </w:tc>
        <w:tc>
          <w:tcPr>
            <w:tcW w:type="dxa" w:w="4320"/>
          </w:tcPr>
          <w:p>
            <w:r>
              <w:rPr>
                <w:sz w:val="17"/>
              </w:rPr>
              <w:t>a variant near a gene that is associated with its plasma protein level.</w:t>
            </w:r>
          </w:p>
        </w:tc>
      </w:tr>
      <w:tr>
        <w:tc>
          <w:tcPr>
            <w:tcW w:type="dxa" w:w="4320"/>
          </w:tcPr>
          <w:p>
            <w:r>
              <w:rPr>
                <w:sz w:val="17"/>
              </w:rPr>
              <w:t>MR</w:t>
            </w:r>
          </w:p>
        </w:tc>
        <w:tc>
          <w:tcPr>
            <w:tcW w:type="dxa" w:w="4320"/>
          </w:tcPr>
          <w:p>
            <w:r>
              <w:rPr>
                <w:sz w:val="17"/>
              </w:rPr>
              <w:t>Mendelian randomization — causal inference using genetic variants as instruments.</w:t>
            </w:r>
          </w:p>
        </w:tc>
      </w:tr>
      <w:tr>
        <w:tc>
          <w:tcPr>
            <w:tcW w:type="dxa" w:w="4320"/>
          </w:tcPr>
          <w:p>
            <w:r>
              <w:rPr>
                <w:sz w:val="17"/>
              </w:rPr>
              <w:t>Wald ratio</w:t>
            </w:r>
          </w:p>
        </w:tc>
        <w:tc>
          <w:tcPr>
            <w:tcW w:type="dxa" w:w="4320"/>
          </w:tcPr>
          <w:p>
            <w:r>
              <w:rPr>
                <w:sz w:val="17"/>
              </w:rPr>
              <w:t>single-instrument MR estimate = outcome effect / exposure effect.</w:t>
            </w:r>
          </w:p>
        </w:tc>
      </w:tr>
      <w:tr>
        <w:tc>
          <w:tcPr>
            <w:tcW w:type="dxa" w:w="4320"/>
          </w:tcPr>
          <w:p>
            <w:r>
              <w:rPr>
                <w:sz w:val="17"/>
              </w:rPr>
              <w:t>OR</w:t>
            </w:r>
          </w:p>
        </w:tc>
        <w:tc>
          <w:tcPr>
            <w:tcW w:type="dxa" w:w="4320"/>
          </w:tcPr>
          <w:p>
            <w:r>
              <w:rPr>
                <w:sz w:val="17"/>
              </w:rPr>
              <w:t>odds ratio; OR&gt;1 = higher protein raises risk, OR&lt;1 = lowers risk.</w:t>
            </w:r>
          </w:p>
        </w:tc>
      </w:tr>
      <w:tr>
        <w:tc>
          <w:tcPr>
            <w:tcW w:type="dxa" w:w="4320"/>
          </w:tcPr>
          <w:p>
            <w:r>
              <w:rPr>
                <w:sz w:val="17"/>
              </w:rPr>
              <w:t>FDR</w:t>
            </w:r>
          </w:p>
        </w:tc>
        <w:tc>
          <w:tcPr>
            <w:tcW w:type="dxa" w:w="4320"/>
          </w:tcPr>
          <w:p>
            <w:r>
              <w:rPr>
                <w:sz w:val="17"/>
              </w:rPr>
              <w:t>false-discovery rate; controlled here at 5% by Benjamini–Hochberg.</w:t>
            </w:r>
          </w:p>
        </w:tc>
      </w:tr>
      <w:tr>
        <w:tc>
          <w:tcPr>
            <w:tcW w:type="dxa" w:w="4320"/>
          </w:tcPr>
          <w:p>
            <w:r>
              <w:rPr>
                <w:sz w:val="17"/>
              </w:rPr>
              <w:t>coloc / PP.H4</w:t>
            </w:r>
          </w:p>
        </w:tc>
        <w:tc>
          <w:tcPr>
            <w:tcW w:type="dxa" w:w="4320"/>
          </w:tcPr>
          <w:p>
            <w:r>
              <w:rPr>
                <w:sz w:val="17"/>
              </w:rPr>
              <w:t>colocalization; posterior probability that exposure and outcome share one causal variant.</w:t>
            </w:r>
          </w:p>
        </w:tc>
      </w:tr>
      <w:tr>
        <w:tc>
          <w:tcPr>
            <w:tcW w:type="dxa" w:w="4320"/>
          </w:tcPr>
          <w:p>
            <w:r>
              <w:rPr>
                <w:sz w:val="17"/>
              </w:rPr>
              <w:t>Wakefield ABF</w:t>
            </w:r>
          </w:p>
        </w:tc>
        <w:tc>
          <w:tcPr>
            <w:tcW w:type="dxa" w:w="4320"/>
          </w:tcPr>
          <w:p>
            <w:r>
              <w:rPr>
                <w:sz w:val="17"/>
              </w:rPr>
              <w:t>per-SNP approximate Bayes factor used inside coloc.abf.</w:t>
            </w:r>
          </w:p>
        </w:tc>
      </w:tr>
      <w:tr>
        <w:tc>
          <w:tcPr>
            <w:tcW w:type="dxa" w:w="4320"/>
          </w:tcPr>
          <w:p>
            <w:r>
              <w:rPr>
                <w:sz w:val="17"/>
              </w:rPr>
              <w:t>LD</w:t>
            </w:r>
          </w:p>
        </w:tc>
        <w:tc>
          <w:tcPr>
            <w:tcW w:type="dxa" w:w="4320"/>
          </w:tcPr>
          <w:p>
            <w:r>
              <w:rPr>
                <w:sz w:val="17"/>
              </w:rPr>
              <w:t>linkage disequilibrium — correlation between nearby variants; extreme in the MHC.</w:t>
            </w:r>
          </w:p>
        </w:tc>
      </w:tr>
      <w:tr>
        <w:tc>
          <w:tcPr>
            <w:tcW w:type="dxa" w:w="4320"/>
          </w:tcPr>
          <w:p>
            <w:r>
              <w:rPr>
                <w:sz w:val="17"/>
              </w:rPr>
              <w:t>MHC</w:t>
            </w:r>
          </w:p>
        </w:tc>
        <w:tc>
          <w:tcPr>
            <w:tcW w:type="dxa" w:w="4320"/>
          </w:tcPr>
          <w:p>
            <w:r>
              <w:rPr>
                <w:sz w:val="17"/>
              </w:rPr>
              <w:t>major histocompatibility complex (chromosome 6); LD-confounded, held at nomination.</w:t>
            </w:r>
          </w:p>
        </w:tc>
      </w:tr>
      <w:tr>
        <w:tc>
          <w:tcPr>
            <w:tcW w:type="dxa" w:w="4320"/>
          </w:tcPr>
          <w:p>
            <w:r>
              <w:rPr>
                <w:sz w:val="17"/>
              </w:rPr>
              <w:t>elastic net</w:t>
            </w:r>
          </w:p>
        </w:tc>
        <w:tc>
          <w:tcPr>
            <w:tcW w:type="dxa" w:w="4320"/>
          </w:tcPr>
          <w:p>
            <w:r>
              <w:rPr>
                <w:sz w:val="17"/>
              </w:rPr>
              <w:t>penalised regression mixing L1 (selection) and L2 (stability).</w:t>
            </w:r>
          </w:p>
        </w:tc>
      </w:tr>
      <w:tr>
        <w:tc>
          <w:tcPr>
            <w:tcW w:type="dxa" w:w="4320"/>
          </w:tcPr>
          <w:p>
            <w:r>
              <w:rPr>
                <w:sz w:val="17"/>
              </w:rPr>
              <w:t>C-index</w:t>
            </w:r>
          </w:p>
        </w:tc>
        <w:tc>
          <w:tcPr>
            <w:tcW w:type="dxa" w:w="4320"/>
          </w:tcPr>
          <w:p>
            <w:r>
              <w:rPr>
                <w:sz w:val="17"/>
              </w:rPr>
              <w:t>Harrell’s concordance for right-censored survival discrimination.</w:t>
            </w:r>
          </w:p>
        </w:tc>
      </w:tr>
      <w:tr>
        <w:tc>
          <w:tcPr>
            <w:tcW w:type="dxa" w:w="4320"/>
          </w:tcPr>
          <w:p>
            <w:r>
              <w:rPr>
                <w:sz w:val="17"/>
              </w:rPr>
              <w:t>AUROC</w:t>
            </w:r>
          </w:p>
        </w:tc>
        <w:tc>
          <w:tcPr>
            <w:tcW w:type="dxa" w:w="4320"/>
          </w:tcPr>
          <w:p>
            <w:r>
              <w:rPr>
                <w:sz w:val="17"/>
              </w:rPr>
              <w:t>area under the ROC curve; fixed-horizon classification discrimination.</w:t>
            </w:r>
          </w:p>
        </w:tc>
      </w:tr>
      <w:tr>
        <w:tc>
          <w:tcPr>
            <w:tcW w:type="dxa" w:w="4320"/>
          </w:tcPr>
          <w:p>
            <w:r>
              <w:rPr>
                <w:sz w:val="17"/>
              </w:rPr>
              <w:t>PIRS</w:t>
            </w:r>
          </w:p>
        </w:tc>
        <w:tc>
          <w:tcPr>
            <w:tcW w:type="dxa" w:w="4320"/>
          </w:tcPr>
          <w:p>
            <w:r>
              <w:rPr>
                <w:sz w:val="17"/>
              </w:rPr>
              <w:t>Plasma Immune Risk Score — the supervised model of this document.</w:t>
            </w:r>
          </w:p>
        </w:tc>
      </w:tr>
      <w:tr>
        <w:tc>
          <w:tcPr>
            <w:tcW w:type="dxa" w:w="4320"/>
          </w:tcPr>
          <w:p>
            <w:r>
              <w:rPr>
                <w:sz w:val="17"/>
              </w:rPr>
              <w:t>evidence tier</w:t>
            </w:r>
          </w:p>
        </w:tc>
        <w:tc>
          <w:tcPr>
            <w:tcW w:type="dxa" w:w="4320"/>
          </w:tcPr>
          <w:p>
            <w:r>
              <w:rPr>
                <w:sz w:val="17"/>
              </w:rPr>
              <w:t>T2 MHC-caution → T3 nomination → T4 transcript-causal → T5 protein-causal.</w:t>
            </w:r>
          </w:p>
        </w:tc>
      </w:tr>
    </w:tbl>
    <w:p>
      <w:r>
        <w:br w:type="page"/>
      </w:r>
    </w:p>
    <w:p>
      <w:pPr>
        <w:pStyle w:val="Heading1"/>
      </w:pPr>
      <w:r>
        <w:rPr>
          <w:color w:val="1F4E79"/>
        </w:rPr>
        <w:t>Appendix 4 · Key references and resources</w:t>
      </w:r>
    </w:p>
    <w:p>
      <w:pPr>
        <w:pStyle w:val="ListNumber"/>
      </w:pPr>
      <w:r>
        <w:rPr>
          <w:sz w:val="19"/>
        </w:rPr>
        <w:t>Sun BB et al. Genomic atlas of the human plasma proteome (INTERVAL). Nature, 2018.</w:t>
      </w:r>
    </w:p>
    <w:p>
      <w:pPr>
        <w:pStyle w:val="ListNumber"/>
      </w:pPr>
      <w:r>
        <w:rPr>
          <w:sz w:val="19"/>
        </w:rPr>
        <w:t>Võsa U et al. Large-scale cis- and trans-eQTL analyses (eQTLGen). Nat Genet, 2021.</w:t>
      </w:r>
    </w:p>
    <w:p>
      <w:pPr>
        <w:pStyle w:val="ListNumber"/>
      </w:pPr>
      <w:r>
        <w:rPr>
          <w:sz w:val="19"/>
        </w:rPr>
        <w:t>Kurki MI et al. FinnGen: genome-wide association of the Finnish biobank (R12). Nature, 2023.</w:t>
      </w:r>
    </w:p>
    <w:p>
      <w:pPr>
        <w:pStyle w:val="ListNumber"/>
      </w:pPr>
      <w:r>
        <w:rPr>
          <w:sz w:val="19"/>
        </w:rPr>
        <w:t>Giambartolomei C et al. Bayesian colocalization (coloc.abf). PLoS Genet, 2014.</w:t>
      </w:r>
    </w:p>
    <w:p>
      <w:pPr>
        <w:pStyle w:val="ListNumber"/>
      </w:pPr>
      <w:r>
        <w:rPr>
          <w:sz w:val="19"/>
        </w:rPr>
        <w:t>Wakefield J. Bayes factors for genome-wide association studies. Genet Epidemiol, 2009.</w:t>
      </w:r>
    </w:p>
    <w:p>
      <w:pPr>
        <w:pStyle w:val="ListNumber"/>
      </w:pPr>
      <w:r>
        <w:rPr>
          <w:sz w:val="19"/>
        </w:rPr>
        <w:t>Zhu Z et al. Integration of summary data (SMR); Z-to-effect transformation. Nat Genet, 2016.</w:t>
      </w:r>
    </w:p>
    <w:p>
      <w:pPr>
        <w:pStyle w:val="ListNumber"/>
      </w:pPr>
      <w:r>
        <w:rPr>
          <w:sz w:val="19"/>
        </w:rPr>
        <w:t>Uhlén M et al. Human Protein Atlas: tissue and immune-cell proteome. Science, 2015/2019.</w:t>
      </w:r>
    </w:p>
    <w:p>
      <w:pPr>
        <w:pStyle w:val="ListNumber"/>
      </w:pPr>
      <w:r>
        <w:rPr>
          <w:sz w:val="19"/>
        </w:rPr>
        <w:t>Liberzon A et al. Molecular Signatures Database (MSigDB C7/C8). Cell Systems, 2015.</w:t>
      </w:r>
    </w:p>
    <w:p>
      <w:pPr>
        <w:pStyle w:val="ListNumber"/>
      </w:pPr>
      <w:r>
        <w:rPr>
          <w:sz w:val="19"/>
        </w:rPr>
        <w:t>Hemani G et al. The MR-Base / OpenGWAS platform. eLife, 2018.</w:t>
      </w:r>
    </w:p>
    <w:p>
      <w:pPr>
        <w:pStyle w:val="ListNumber"/>
      </w:pPr>
      <w:r>
        <w:rPr>
          <w:sz w:val="19"/>
        </w:rPr>
        <w:t>Benjamini Y, Hochberg Y. Controlling the false discovery rate. JRSS-B, 1995.</w:t>
      </w:r>
    </w:p>
    <w:p>
      <w:pPr>
        <w:pStyle w:val="ListNumber"/>
      </w:pPr>
      <w:r>
        <w:rPr>
          <w:sz w:val="19"/>
        </w:rPr>
        <w:t>Simon N et al. Regularization paths for Cox’s model via coordinate descent (elastic-net Cox). J Stat Softw, 2011.</w:t>
      </w:r>
    </w:p>
    <w:p/>
    <w:p>
      <w:pPr>
        <w:jc w:val="center"/>
      </w:pPr>
      <w:r>
        <w:rPr>
          <w:i/>
          <w:color w:val="555555"/>
        </w:rPr>
        <w:t>End of methodology monograph.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