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44"/>
        </w:rPr>
        <w:t>Plasma Immunome–Phenome Atlas &amp; the Plasma Immune Risk Score (PIRS)</w:t>
      </w:r>
    </w:p>
    <w:p>
      <w:pPr>
        <w:jc w:val="center"/>
      </w:pPr>
      <w:r>
        <w:rPr>
          <w:i/>
          <w:color w:val="555555"/>
          <w:sz w:val="28"/>
        </w:rPr>
        <w:t>A Detailed Methodology: From Raw Data to a Trained Causal-and-Predictive Model</w:t>
      </w:r>
    </w:p>
    <w:p/>
    <w:p>
      <w:pPr>
        <w:jc w:val="center"/>
      </w:pPr>
      <w:r>
        <w:rPr>
          <w:color w:val="222222"/>
          <w:sz w:val="22"/>
        </w:rPr>
        <w:t>HDDM Layer 54 · An open, genetics-anchored resource</w:t>
      </w:r>
    </w:p>
    <w:p>
      <w:pPr>
        <w:jc w:val="center"/>
      </w:pPr>
      <w:r>
        <w:rPr>
          <w:color w:val="222222"/>
          <w:sz w:val="22"/>
        </w:rPr>
        <w:t>Data acquisition · proteome curation · Mendelian randomization · colocalization</w:t>
      </w:r>
    </w:p>
    <w:p>
      <w:pPr>
        <w:jc w:val="center"/>
      </w:pPr>
      <w:r>
        <w:rPr>
          <w:color w:val="222222"/>
          <w:sz w:val="22"/>
        </w:rPr>
        <w:t>protein-level validation · independent replication · pan-phenome causal mapping</w:t>
      </w:r>
    </w:p>
    <w:p>
      <w:pPr>
        <w:jc w:val="center"/>
      </w:pPr>
      <w:r>
        <w:rPr>
          <w:color w:val="222222"/>
          <w:sz w:val="22"/>
        </w:rPr>
        <w:t>novelty-priority engine · supervised Plasma Immune Risk Score</w:t>
      </w:r>
    </w:p>
    <w:p/>
    <w:p>
      <w:pPr>
        <w:jc w:val="center"/>
      </w:pPr>
      <w:r>
        <w:rPr>
          <w:i/>
          <w:color w:val="555555"/>
          <w:sz w:val="20"/>
        </w:rPr>
        <w:t>A methods paper · built entirely from public data · fully reproducible</w:t>
      </w:r>
    </w:p>
    <w:p/>
    <w:p>
      <w:pPr>
        <w:jc w:val="center"/>
      </w:pPr>
      <w:r>
        <w:rPr>
          <w:color w:val="555555"/>
          <w:sz w:val="19"/>
        </w:rPr>
        <w:t>HDDM Layer 54 · Plasma Immunome–Phenome Atlas Consortium (open resource)</w:t>
      </w:r>
    </w:p>
    <w:p>
      <w:pPr>
        <w:pStyle w:val="Heading1"/>
      </w:pPr>
      <w:r>
        <w:rPr>
          <w:color w:val="1F4E79"/>
        </w:rPr>
        <w:t>Abstract</w:t>
      </w:r>
    </w:p>
    <w:p>
      <w:r>
        <w:rPr>
          <w:b w:val="0"/>
          <w:i w:val="0"/>
          <w:sz w:val="21"/>
        </w:rPr>
        <w:t>Circulating immune proteins mediate host defence and are the targets of many approved therapies, yet a systematic, openly reproducible framework linking the plasma immune proteome to disease through causal genetics — and a matching predictive model — has been lacking. We present a complete methodology for (i) the Plasma Immunome–Phenome Atlas, a genetics-anchored causal map of circulating immune proteins across 28 diseases in five categories, and (ii) the Plasma Immune Risk Score (PIRS), a supervised model that converts an individual’s plasma immune proteome into calibrated, disease-specific risk. Starting from the 2,923-analyte Olink Explore universe, we curate 1,007 plasma-detectable immune proteins using orthogonal Human Protein Atlas and MSigDB annotation, instrument 812 immune genes with blood cis-eQTLs (eQTLGen), and estimate causal effects on FinnGen R12 disease liability by Mendelian randomization. Signals are triangulated by statistical colocalization (coloc.abf), validated at the protein level with INTERVAL plasma cis-pQTLs, and replicated in independent, non-FinnGen consortium GWAS. The pipeline blindly recovers approved-drug axes with the correct pharmacological direction (IL6ST/tocilizumab, CTLA4/abatacept, TNFRSF1A/anti-TNF), providing an internal positive control, and nominates colocalized targets across autoimmune, cardiovascular, metabolic, renal and neurodegenerative disease. An integrated novelty-priority engine ranks targets by cumulative orthogonal evidence while penalising known-drug and MHC axes, yielding 45 novel colocalized nominations with explicit therapeutic direction. Every finding is bound to an evidence tier and no claim exceeds its tier. The PIRS layer is data-source-agnostic and ships no individual-level data: it restricts features to the curated immunome, fits a cross-validated elastic-net survival model, and returns per-protein weights and calibrated discrimination in any authorised cohort. All inputs are public and all code is released; the resource is a reproducible platform for immune target discovery and risk prediction.</w:t>
      </w:r>
    </w:p>
    <w:p>
      <w:r>
        <w:rPr>
          <w:b/>
          <w:sz w:val="19"/>
        </w:rPr>
        <w:t xml:space="preserve">Keywords:  </w:t>
      </w:r>
      <w:r>
        <w:rPr>
          <w:sz w:val="19"/>
        </w:rPr>
        <w:t>plasma proteome; immune proteins; Mendelian randomization; colocalization; pQTL; drug target discovery; risk prediction; elastic-net survival; FinnGen; open reproducible resource</w:t>
      </w:r>
    </w:p>
    <w:p>
      <w:r>
        <w:br w:type="page"/>
      </w:r>
    </w:p>
    <w:p>
      <w:pPr>
        <w:pStyle w:val="Heading1"/>
      </w:pPr>
      <w:r>
        <w:rPr>
          <w:color w:val="1F4E79"/>
        </w:rPr>
        <w:t>1.  Purpose and scope</w:t>
      </w:r>
    </w:p>
    <w:p>
      <w:r>
        <w:rPr>
          <w:b w:val="0"/>
          <w:i w:val="0"/>
          <w:sz w:val="21"/>
        </w:rPr>
        <w:t>This monograph is the complete, self-contained methodology behind two linked deliverables: (i) the Plasma Immunome–Phenome Atlas, a genetics-anchored causal map that connects circulating immune proteins to human disease, and (ii) the Plasma Immune Risk Score (PIRS), a supervised model that turns an individual’s plasma immune-protein profile into a calibrated, disease-specific risk estimate. It is written so that a researcher with no prior exposure to the project can reproduce every step, understand every modelling choice, and know precisely what each result does and does not support. The atlas answers the question “which immune proteins causally influence which diseases, and in which direction?”; the PIRS answers the complementary question “given a person’s measured immune proteome today, what is their future risk of a given disease?” The two are deliberately coupled: the causal atlas tells you which proteins are mechanistically credible, and the PIRS lets you use them predictively in any cohort you are authorised to analyse.</w:t>
      </w:r>
    </w:p>
    <w:p>
      <w:r>
        <w:rPr>
          <w:b w:val="0"/>
          <w:i w:val="0"/>
          <w:sz w:val="21"/>
        </w:rPr>
        <w:t>A guiding principle runs through the entire pipeline and through this document: claim strength is matched to evidence strength. Association is not causation; a transcript (eQTL) is not a protein (pQTL); a Mendelian-randomization estimate at the major histocompatibility complex (MHC) is not a clean instrument; and a cross-validated risk score is not proof of mechanism. Every finding is therefore reported at an explicit evidence tier, and the language used for it is bound to that tier. This document explains not only how each number was produced but why each number is allowed to carry only a certain weight.</w:t>
      </w:r>
    </w:p>
    <w:p>
      <w:r>
        <w:rPr>
          <w:b w:val="0"/>
          <w:i w:val="0"/>
          <w:sz w:val="21"/>
        </w:rPr>
        <w:t>The document is organised as a narrative arc. Part A describes the data. Part B describes how the immune proteome was defined. Part C–F describe the causal-inference engine (instruments, Mendelian randomization, colocalization, protein-level validation, replication). Part G describes the pan-phenome expansion and the novelty-priority engine. Part H is the PIRS model in full: data → features → algorithm → training → scoring. Part I explains why one would train with the model, what questions it answers, and how a research programme benefits. Part J covers limitations, reproducibility, a glossary and references.</w:t>
      </w:r>
    </w:p>
    <w:p>
      <w:r>
        <w:br w:type="page"/>
      </w:r>
    </w:p>
    <w:p>
      <w:pPr>
        <w:pStyle w:val="Heading1"/>
      </w:pPr>
      <w:r>
        <w:rPr>
          <w:color w:val="1F4E79"/>
        </w:rPr>
        <w:t>PART A · DATA: sources, acquisition and provenance</w:t>
      </w:r>
    </w:p>
    <w:p>
      <w:r>
        <w:rPr>
          <w:b w:val="0"/>
          <w:i w:val="0"/>
          <w:sz w:val="21"/>
        </w:rPr>
        <w:t>The atlas is built exclusively from public, citable resources. No individual-level, credentialed or gated dataset was used at any point, and no data were fabricated or imputed to stand in for gated resources. Where a desirable resource is access-controlled (for example UK Biobank individual-level proteomics, or the UKB-PPP/Synapse and deCODE plasma pQTL panels), it was explicitly excluded and its absence is stated as a limitation rather than papered over. This section documents each data source, how it was obtained, its coordinate system and units, and how it is used downstream.</w:t>
      </w:r>
    </w:p>
    <w:p>
      <w:pPr>
        <w:pStyle w:val="Heading2"/>
      </w:pPr>
      <w:r>
        <w:rPr>
          <w:color w:val="2E629E"/>
        </w:rPr>
        <w:t>A.1  The plasma-protein universe: Olink Explore</w:t>
      </w:r>
    </w:p>
    <w:p>
      <w:r>
        <w:rPr>
          <w:b w:val="0"/>
          <w:i w:val="0"/>
          <w:sz w:val="21"/>
        </w:rPr>
        <w:t>The starting universe of measurable proteins is the Olink Explore panel as deployed at population scale, comprising 2,923 protein assays. Olink Explore uses the Proximity Extension Assay (PEA): each protein is recognised by a pair of antibodies, each carrying a unique oligonucleotide; when both bind the same target the oligonucleotides hybridise and are quantified by next-generation sequencing. The read-out is Normalised Protein eXpression (NPX), a relative, log2 abundance on an arbitrary linear scale in which one unit corresponds to a doubling of protein concentration. NPX is comparative, not absolute; it is well-suited to ranking individuals and to regression, which is exactly how the PIRS uses it. The Olink assay-to-gene mapping (assay identifier, UniProt, gene symbol) is used to bridge the proteomic space to genetics, because instruments and disease GWAS are indexed by gene and variant, not by aptamer.</w:t>
      </w:r>
    </w:p>
    <w:p>
      <w:r>
        <w:rPr>
          <w:b w:val="0"/>
          <w:i w:val="0"/>
          <w:sz w:val="21"/>
        </w:rPr>
        <w:t>Provenance and access. The identities of the 2,923 assays (the protein universe) are public. The individual-level NPX measurements themselves, when derived from UK Biobank, are controlled-access and were NOT used to build the atlas. The PIRS trainer is therefore designed to run on whatever authorised NPX matrix the end user supplies (UK Biobank under an approved application, a hospital cohort, or a new Olink run), never on shipped individual-level data.</w:t>
      </w:r>
    </w:p>
    <w:p>
      <w:pPr>
        <w:pStyle w:val="Heading2"/>
      </w:pPr>
      <w:r>
        <w:rPr>
          <w:color w:val="2E629E"/>
        </w:rPr>
        <w:t>A.2  Protein annotation: Human Protein Atlas and MSigDB</w:t>
      </w:r>
    </w:p>
    <w:p>
      <w:r>
        <w:rPr>
          <w:b w:val="0"/>
          <w:i w:val="0"/>
          <w:sz w:val="21"/>
        </w:rPr>
        <w:t>Two orthogonal annotation resources convert the flat list of assays into a biologically structured immune proteome:</w:t>
      </w:r>
    </w:p>
    <w:p>
      <w:pPr>
        <w:pStyle w:val="ListBullet"/>
      </w:pPr>
      <w:r>
        <w:rPr>
          <w:b/>
        </w:rPr>
        <w:t xml:space="preserve">Human Protein Atlas (HPA): </w:t>
      </w:r>
      <w:r>
        <w:t>the master table proteinatlas.tsv (20,162 genes), which provides, per gene, immune-cell RNA specificity and expression across sorted blood-cell populations, secretome location (secreted / membrane / intracellular), molecular function, and a curated protein class (including drug-target and FDA-approved-target flags used later for druggability).</w:t>
      </w:r>
    </w:p>
    <w:p>
      <w:pPr>
        <w:pStyle w:val="ListBullet"/>
      </w:pPr>
      <w:r>
        <w:rPr>
          <w:b/>
        </w:rPr>
        <w:t xml:space="preserve">MSigDB (Molecular Signatures Database): </w:t>
      </w:r>
      <w:r>
        <w:t>the immunologic-signature collection C7 (5,219 gene sets) and cell-type collection C8 (840 sets). C7 proved so permissive that it covered almost the entire Olink space; it was therefore demoted to annotation only and never used as an inclusion filter — an early, concrete application of the calibration principle.</w:t>
      </w:r>
    </w:p>
    <w:p>
      <w:r>
        <w:rPr>
          <w:b w:val="0"/>
          <w:i w:val="0"/>
          <w:sz w:val="21"/>
        </w:rPr>
        <w:t>Both resources are public and downloadable in full. HPA supplies the immune-cell lineage of origin for each protein (granulocyte, monocyte/myeloid, dendritic, T-, B- and NK-cell), which is what allows later disease signals to be read back to a cell of origin, and the secretome/protein-class fields that later drive the druggability component of the novelty engine.</w:t>
      </w:r>
    </w:p>
    <w:p>
      <w:pPr>
        <w:pStyle w:val="Heading2"/>
      </w:pPr>
      <w:r>
        <w:rPr>
          <w:color w:val="2E629E"/>
        </w:rPr>
        <w:t>A.3  Genetic instruments (exposure side): eQTLGen cis-eQTLs</w:t>
      </w:r>
    </w:p>
    <w:p>
      <w:r>
        <w:rPr>
          <w:b w:val="0"/>
          <w:i w:val="0"/>
          <w:sz w:val="21"/>
        </w:rPr>
        <w:t>Causal direction is exposed by genetics. For the transcript-level exposure we use eQTLGen, a meta-analysis of blood cis-expression quantitative trait loci (cis-eQTLs) in up to ~31,684 individuals. The significant-cis file (~322 MB compressed, ~127 million SNP–gene rows) provides, per variant–gene pair, the Z-score of association between genotype and gene expression, the assessed and other alleles, and the discovery sample size. Because eQTLGen reports Z-scores rather than betas on a natural scale, effect sizes are reconstructed analytically (Section C.2). eQTLGen is fully public.</w:t>
      </w:r>
    </w:p>
    <w:p>
      <w:pPr>
        <w:pStyle w:val="Heading2"/>
      </w:pPr>
      <w:r>
        <w:rPr>
          <w:color w:val="2E629E"/>
        </w:rPr>
        <w:t>A.4  Protein-level instruments (validation side): INTERVAL plasma pQTLs</w:t>
      </w:r>
    </w:p>
    <w:p>
      <w:r>
        <w:rPr>
          <w:b w:val="0"/>
          <w:i w:val="0"/>
          <w:sz w:val="21"/>
        </w:rPr>
        <w:t>Because a cis-eQTL indexes transcript, not protein, abundance, the atlas seeks an independent protein-level instrument. We use plasma cis-pQTLs from the INTERVAL study (Sun et al., 2018; ~3,300 SomaScan aptamers in ~3,300 blood donors), obtained as fully harmonised GWAS-Catalog summary statistics (GRCh37) over the EBI FTP mirror — a login-free, public route. For each significant gene the genome-wide file is downloaded, the cis window (±500 kb around the gene body, coordinates from Ensembl GRCh37) is extracted, and the genome-wide file is then deleted to conserve storage. INTERVAL supplies real effect sizes and standard errors on both the exposure and outcome sides, enabling a genuine protein-level Mendelian-randomization and protein-level colocalization. The alternative protein panels (UKB-PPP via Synapse; deCODE via a data-use agreement) are gated behind login or a legal agreement and were deliberately not used.</w:t>
      </w:r>
    </w:p>
    <w:p>
      <w:pPr>
        <w:pStyle w:val="Heading2"/>
      </w:pPr>
      <w:r>
        <w:rPr>
          <w:color w:val="2E629E"/>
        </w:rPr>
        <w:t>A.5  Disease outcomes: FinnGen R12 (the phenome)</w:t>
      </w:r>
    </w:p>
    <w:p>
      <w:r>
        <w:rPr>
          <w:b w:val="0"/>
          <w:i w:val="0"/>
          <w:sz w:val="21"/>
        </w:rPr>
        <w:t>Disease association (the outcome side) comes from FinnGen Data Freeze 12 (R12), a Finnish biobank-scale GWAS resource covering thousands of endpoints. FinnGen provides per-endpoint genome-wide summary statistics (variant, alleles, beta, standard error, p-value, allele frequency) with a public manifest of direct download paths. The atlas uses FinnGen at two scales:</w:t>
      </w:r>
    </w:p>
    <w:p>
      <w:pPr>
        <w:pStyle w:val="ListBullet"/>
      </w:pPr>
      <w:r>
        <w:rPr>
          <w:b/>
        </w:rPr>
        <w:t xml:space="preserve">Discovery (autoimmune core): </w:t>
      </w:r>
      <w:r>
        <w:t>13 immune-mediated endpoints (rheumatoid arthritis, multiple sclerosis, ankylosing spondylitis, psoriasis, coeliac disease, Crohn’s disease, sarcoidosis, systemic lupus, vitiligo, Sjögren syndrome, autoimmune thyroiditis, autoimmune hyperthyroidism, Guillain–Barré syndrome).</w:t>
      </w:r>
    </w:p>
    <w:p>
      <w:pPr>
        <w:pStyle w:val="ListBullet"/>
      </w:pPr>
      <w:r>
        <w:rPr>
          <w:b/>
        </w:rPr>
        <w:t xml:space="preserve">Pan-phenome expansion: </w:t>
      </w:r>
      <w:r>
        <w:t>15 additional well-powered non-immune endpoints spanning cardiovascular (hypertension, coronary heart disease, atrial fibrillation, heart failure, stroke, venous thromboembolism), metabolic (type-1 and type-2 diabetes, obesity), renal (chronic kidney disease), and neurodegenerative/aging (dementia, Alzheimer’s disease, epilepsy, glaucoma, osteoporosis) categories — giving 28 diseases in five categories in total.</w:t>
      </w:r>
    </w:p>
    <w:p>
      <w:r>
        <w:rPr>
          <w:b w:val="0"/>
          <w:i w:val="0"/>
          <w:sz w:val="21"/>
        </w:rPr>
        <w:t>Each FinnGen sumstat file is ~0.8 GB; all 28 were downloaded into the project (~23 GB) so that every result is computed on real, complete summary statistics rather than a subset. FinnGen R12 is public.</w:t>
      </w:r>
    </w:p>
    <w:p>
      <w:pPr>
        <w:pStyle w:val="Heading2"/>
      </w:pPr>
      <w:r>
        <w:rPr>
          <w:color w:val="2E629E"/>
        </w:rPr>
        <w:t>A.6  Independent replication GWAS: OpenGWAS consortia</w:t>
      </w:r>
    </w:p>
    <w:p>
      <w:r>
        <w:rPr>
          <w:b w:val="0"/>
          <w:i w:val="0"/>
          <w:sz w:val="21"/>
        </w:rPr>
        <w:t>To guard against discovery being an artefact of a single (Finnish) cohort, each significant instrument variant is re-queried in an independent, FinnGen-free consortium GWAS via the OpenGWAS API. The independent studies used are IMSGC/Patsopoulos (multiple sclerosis), Okada (rheumatoid arthritis), IGAS/Cortes (ankylosing spondylitis), Stuart (psoriasis), Fischer (sarcoidosis), Sakaue (autoimmune thyroid) and others. OpenGWAS requires a free personal JWT token; the token is stored locally and never committed, and because the replication output is saved to disk, the token is not needed to reproduce downstream steps.</w:t>
      </w:r>
    </w:p>
    <w:p>
      <w:pPr>
        <w:pStyle w:val="Heading2"/>
      </w:pPr>
      <w:r>
        <w:rPr>
          <w:color w:val="2E629E"/>
        </w:rPr>
        <w:t>A.7  Data-access reality and what was deliberately excluded</w:t>
      </w:r>
    </w:p>
    <w:p>
      <w:r>
        <w:rPr>
          <w:b w:val="0"/>
          <w:i w:val="0"/>
          <w:sz w:val="21"/>
        </w:rPr>
        <w:t>The single most important honesty constraint of the project is that several attractive resources are gated, and none of them were substituted with fabricated data. Individual-level UK Biobank NPX and phenotypes require an approved application through the UKB Access Management System (Olink is field 30900). UKB-PPP plasma pQTLs are served only behind a Synapse login. deCODE plasma pQTLs require submitting a data-use agreement under the user’s identity. Each of these was left out by design. The consequence — that the atlas is a summary-statistics causal resource rather than an individual-level-trained model — is stated plainly, and the PIRS is engineered precisely to close that gap for any user who does hold authorised individual-level data.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t>Layer</w:t>
            </w:r>
          </w:p>
        </w:tc>
        <w:tc>
          <w:tcPr>
            <w:tcW w:type="dxa" w:w="2160"/>
          </w:tcPr>
          <w:p>
            <w:r>
              <w:rPr>
                <w:b/>
                <w:sz w:val="17"/>
              </w:rPr>
              <w:t>Source</w:t>
            </w:r>
          </w:p>
        </w:tc>
        <w:tc>
          <w:tcPr>
            <w:tcW w:type="dxa" w:w="2160"/>
          </w:tcPr>
          <w:p>
            <w:r>
              <w:rPr>
                <w:b/>
                <w:sz w:val="17"/>
              </w:rPr>
              <w:t>Role</w:t>
            </w:r>
          </w:p>
        </w:tc>
        <w:tc>
          <w:tcPr>
            <w:tcW w:type="dxa" w:w="2160"/>
          </w:tcPr>
          <w:p>
            <w:r>
              <w:rPr>
                <w:b/>
                <w:sz w:val="17"/>
              </w:rPr>
              <w:t>Access</w:t>
            </w:r>
          </w:p>
        </w:tc>
      </w:tr>
      <w:tr>
        <w:tc>
          <w:tcPr>
            <w:tcW w:type="dxa" w:w="2160"/>
          </w:tcPr>
          <w:p>
            <w:r>
              <w:rPr>
                <w:sz w:val="17"/>
              </w:rPr>
              <w:t>Protein universe</w:t>
            </w:r>
          </w:p>
        </w:tc>
        <w:tc>
          <w:tcPr>
            <w:tcW w:type="dxa" w:w="2160"/>
          </w:tcPr>
          <w:p>
            <w:r>
              <w:rPr>
                <w:sz w:val="17"/>
              </w:rPr>
              <w:t>Olink Explore (2,923 assays)</w:t>
            </w:r>
          </w:p>
        </w:tc>
        <w:tc>
          <w:tcPr>
            <w:tcW w:type="dxa" w:w="2160"/>
          </w:tcPr>
          <w:p>
            <w:r>
              <w:rPr>
                <w:sz w:val="17"/>
              </w:rPr>
              <w:t>defines measurable proteome</w:t>
            </w:r>
          </w:p>
        </w:tc>
        <w:tc>
          <w:tcPr>
            <w:tcW w:type="dxa" w:w="2160"/>
          </w:tcPr>
          <w:p>
            <w:r>
              <w:rPr>
                <w:sz w:val="17"/>
              </w:rPr>
              <w:t>public (identities)</w:t>
            </w:r>
          </w:p>
        </w:tc>
      </w:tr>
      <w:tr>
        <w:tc>
          <w:tcPr>
            <w:tcW w:type="dxa" w:w="2160"/>
          </w:tcPr>
          <w:p>
            <w:r>
              <w:rPr>
                <w:sz w:val="17"/>
              </w:rPr>
              <w:t>Annotation</w:t>
            </w:r>
          </w:p>
        </w:tc>
        <w:tc>
          <w:tcPr>
            <w:tcW w:type="dxa" w:w="2160"/>
          </w:tcPr>
          <w:p>
            <w:r>
              <w:rPr>
                <w:sz w:val="17"/>
              </w:rPr>
              <w:t>Human Protein Atlas</w:t>
            </w:r>
          </w:p>
        </w:tc>
        <w:tc>
          <w:tcPr>
            <w:tcW w:type="dxa" w:w="2160"/>
          </w:tcPr>
          <w:p>
            <w:r>
              <w:rPr>
                <w:sz w:val="17"/>
              </w:rPr>
              <w:t>immune-cell / secretome / druggability</w:t>
            </w:r>
          </w:p>
        </w:tc>
        <w:tc>
          <w:tcPr>
            <w:tcW w:type="dxa" w:w="2160"/>
          </w:tcPr>
          <w:p>
            <w:r>
              <w:rPr>
                <w:sz w:val="17"/>
              </w:rPr>
              <w:t>public</w:t>
            </w:r>
          </w:p>
        </w:tc>
      </w:tr>
      <w:tr>
        <w:tc>
          <w:tcPr>
            <w:tcW w:type="dxa" w:w="2160"/>
          </w:tcPr>
          <w:p>
            <w:r>
              <w:rPr>
                <w:sz w:val="17"/>
              </w:rPr>
              <w:t>Annotation</w:t>
            </w:r>
          </w:p>
        </w:tc>
        <w:tc>
          <w:tcPr>
            <w:tcW w:type="dxa" w:w="2160"/>
          </w:tcPr>
          <w:p>
            <w:r>
              <w:rPr>
                <w:sz w:val="17"/>
              </w:rPr>
              <w:t>MSigDB C7/C8</w:t>
            </w:r>
          </w:p>
        </w:tc>
        <w:tc>
          <w:tcPr>
            <w:tcW w:type="dxa" w:w="2160"/>
          </w:tcPr>
          <w:p>
            <w:r>
              <w:rPr>
                <w:sz w:val="17"/>
              </w:rPr>
              <w:t>immune signatures (annotation only)</w:t>
            </w:r>
          </w:p>
        </w:tc>
        <w:tc>
          <w:tcPr>
            <w:tcW w:type="dxa" w:w="2160"/>
          </w:tcPr>
          <w:p>
            <w:r>
              <w:rPr>
                <w:sz w:val="17"/>
              </w:rPr>
              <w:t>public</w:t>
            </w:r>
          </w:p>
        </w:tc>
      </w:tr>
      <w:tr>
        <w:tc>
          <w:tcPr>
            <w:tcW w:type="dxa" w:w="2160"/>
          </w:tcPr>
          <w:p>
            <w:r>
              <w:rPr>
                <w:sz w:val="17"/>
              </w:rPr>
              <w:t>eQTL exposure</w:t>
            </w:r>
          </w:p>
        </w:tc>
        <w:tc>
          <w:tcPr>
            <w:tcW w:type="dxa" w:w="2160"/>
          </w:tcPr>
          <w:p>
            <w:r>
              <w:rPr>
                <w:sz w:val="17"/>
              </w:rPr>
              <w:t>eQTLGen cis-eQTL</w:t>
            </w:r>
          </w:p>
        </w:tc>
        <w:tc>
          <w:tcPr>
            <w:tcW w:type="dxa" w:w="2160"/>
          </w:tcPr>
          <w:p>
            <w:r>
              <w:rPr>
                <w:sz w:val="17"/>
              </w:rPr>
              <w:t>transcript-level instruments</w:t>
            </w:r>
          </w:p>
        </w:tc>
        <w:tc>
          <w:tcPr>
            <w:tcW w:type="dxa" w:w="2160"/>
          </w:tcPr>
          <w:p>
            <w:r>
              <w:rPr>
                <w:sz w:val="17"/>
              </w:rPr>
              <w:t>public</w:t>
            </w:r>
          </w:p>
        </w:tc>
      </w:tr>
      <w:tr>
        <w:tc>
          <w:tcPr>
            <w:tcW w:type="dxa" w:w="2160"/>
          </w:tcPr>
          <w:p>
            <w:r>
              <w:rPr>
                <w:sz w:val="17"/>
              </w:rPr>
              <w:t>pQTL validation</w:t>
            </w:r>
          </w:p>
        </w:tc>
        <w:tc>
          <w:tcPr>
            <w:tcW w:type="dxa" w:w="2160"/>
          </w:tcPr>
          <w:p>
            <w:r>
              <w:rPr>
                <w:sz w:val="17"/>
              </w:rPr>
              <w:t>INTERVAL (Sun 2018)</w:t>
            </w:r>
          </w:p>
        </w:tc>
        <w:tc>
          <w:tcPr>
            <w:tcW w:type="dxa" w:w="2160"/>
          </w:tcPr>
          <w:p>
            <w:r>
              <w:rPr>
                <w:sz w:val="17"/>
              </w:rPr>
              <w:t>protein-level instruments</w:t>
            </w:r>
          </w:p>
        </w:tc>
        <w:tc>
          <w:tcPr>
            <w:tcW w:type="dxa" w:w="2160"/>
          </w:tcPr>
          <w:p>
            <w:r>
              <w:rPr>
                <w:sz w:val="17"/>
              </w:rPr>
              <w:t>public (GWAS Catalog)</w:t>
            </w:r>
          </w:p>
        </w:tc>
      </w:tr>
      <w:tr>
        <w:tc>
          <w:tcPr>
            <w:tcW w:type="dxa" w:w="2160"/>
          </w:tcPr>
          <w:p>
            <w:r>
              <w:rPr>
                <w:sz w:val="17"/>
              </w:rPr>
              <w:t>Disease GWAS</w:t>
            </w:r>
          </w:p>
        </w:tc>
        <w:tc>
          <w:tcPr>
            <w:tcW w:type="dxa" w:w="2160"/>
          </w:tcPr>
          <w:p>
            <w:r>
              <w:rPr>
                <w:sz w:val="17"/>
              </w:rPr>
              <w:t>FinnGen R12 (28 endpoints)</w:t>
            </w:r>
          </w:p>
        </w:tc>
        <w:tc>
          <w:tcPr>
            <w:tcW w:type="dxa" w:w="2160"/>
          </w:tcPr>
          <w:p>
            <w:r>
              <w:rPr>
                <w:sz w:val="17"/>
              </w:rPr>
              <w:t>outcome / phenome</w:t>
            </w:r>
          </w:p>
        </w:tc>
        <w:tc>
          <w:tcPr>
            <w:tcW w:type="dxa" w:w="2160"/>
          </w:tcPr>
          <w:p>
            <w:r>
              <w:rPr>
                <w:sz w:val="17"/>
              </w:rPr>
              <w:t>public</w:t>
            </w:r>
          </w:p>
        </w:tc>
      </w:tr>
      <w:tr>
        <w:tc>
          <w:tcPr>
            <w:tcW w:type="dxa" w:w="2160"/>
          </w:tcPr>
          <w:p>
            <w:r>
              <w:rPr>
                <w:sz w:val="17"/>
              </w:rPr>
              <w:t>Replication</w:t>
            </w:r>
          </w:p>
        </w:tc>
        <w:tc>
          <w:tcPr>
            <w:tcW w:type="dxa" w:w="2160"/>
          </w:tcPr>
          <w:p>
            <w:r>
              <w:rPr>
                <w:sz w:val="17"/>
              </w:rPr>
              <w:t>OpenGWAS consortia</w:t>
            </w:r>
          </w:p>
        </w:tc>
        <w:tc>
          <w:tcPr>
            <w:tcW w:type="dxa" w:w="2160"/>
          </w:tcPr>
          <w:p>
            <w:r>
              <w:rPr>
                <w:sz w:val="17"/>
              </w:rPr>
              <w:t>out-of-sample validation</w:t>
            </w:r>
          </w:p>
        </w:tc>
        <w:tc>
          <w:tcPr>
            <w:tcW w:type="dxa" w:w="2160"/>
          </w:tcPr>
          <w:p>
            <w:r>
              <w:rPr>
                <w:sz w:val="17"/>
              </w:rPr>
              <w:t>free token</w:t>
            </w:r>
          </w:p>
        </w:tc>
      </w:tr>
      <w:tr>
        <w:tc>
          <w:tcPr>
            <w:tcW w:type="dxa" w:w="2160"/>
          </w:tcPr>
          <w:p>
            <w:r>
              <w:rPr>
                <w:sz w:val="17"/>
              </w:rPr>
              <w:t>Excluded</w:t>
            </w:r>
          </w:p>
        </w:tc>
        <w:tc>
          <w:tcPr>
            <w:tcW w:type="dxa" w:w="2160"/>
          </w:tcPr>
          <w:p>
            <w:r>
              <w:rPr>
                <w:sz w:val="17"/>
              </w:rPr>
              <w:t>UKB-PPP / deCODE / UKB NPX</w:t>
            </w:r>
          </w:p>
        </w:tc>
        <w:tc>
          <w:tcPr>
            <w:tcW w:type="dxa" w:w="2160"/>
          </w:tcPr>
          <w:p>
            <w:r>
              <w:rPr>
                <w:sz w:val="17"/>
              </w:rPr>
              <w:t>(not used)</w:t>
            </w:r>
          </w:p>
        </w:tc>
        <w:tc>
          <w:tcPr>
            <w:tcW w:type="dxa" w:w="2160"/>
          </w:tcPr>
          <w:p>
            <w:r>
              <w:rPr>
                <w:sz w:val="17"/>
              </w:rPr>
              <w:t>gated</w:t>
            </w:r>
          </w:p>
        </w:tc>
      </w:tr>
    </w:tbl>
    <w:p>
      <w:r>
        <w:br w:type="page"/>
      </w:r>
    </w:p>
    <w:p>
      <w:pPr>
        <w:pStyle w:val="Heading1"/>
      </w:pPr>
      <w:r>
        <w:rPr>
          <w:color w:val="1F4E79"/>
        </w:rPr>
        <w:t>PART B · Defining the plasma immunome</w:t>
      </w:r>
    </w:p>
    <w:p>
      <w:r>
        <w:rPr>
          <w:b w:val="0"/>
          <w:i w:val="0"/>
          <w:sz w:val="21"/>
        </w:rPr>
        <w:t>The purpose of Part B is to convert the 2,923 raw Olink assays into a defensible, biologically coherent set of plasma-detectable immune proteins — the feature space shared by every downstream analysis and by the PIRS.</w:t>
      </w:r>
    </w:p>
    <w:p>
      <w:pPr>
        <w:pStyle w:val="Heading2"/>
      </w:pPr>
      <w:r>
        <w:rPr>
          <w:color w:val="2E629E"/>
        </w:rPr>
        <w:t>B.1  Inclusion score</w:t>
      </w:r>
    </w:p>
    <w:p>
      <w:r>
        <w:rPr>
          <w:b w:val="0"/>
          <w:i w:val="0"/>
          <w:sz w:val="21"/>
        </w:rPr>
        <w:t>Each assay is scored by an additive, transparent inclusion rule that combines orthogonal evidence that a protein is (a) immune-relevant and (b) plausibly present and measurable in plasma. The score weights most heavily membership of core immune pathways (cytokine, chemokine, interferon, TNF superfamily), complement and checkpoint biology, and HPA immune-cell RNA enrichment; it additionally credits secreted/receptor secretome location (which favours plasma detectability and druggability) and curated CD/leukocyte, HLA, immunoglobulin, acute-phase and coagulation annotation. Proteins passing the threshold constitute the plasma immunome. The procedure retains 1,007 plasma immune proteins from the 2,923-assay universe. Crucially, MSigDB C7 was excluded from the score because it covered almost the entire panel and therefore carried no discriminating information — an explicit guard against a criterion that would have admitted everything.</w:t>
      </w:r>
    </w:p>
    <w:p>
      <w:pPr>
        <w:pStyle w:val="Heading2"/>
      </w:pPr>
      <w:r>
        <w:rPr>
          <w:color w:val="2E629E"/>
        </w:rPr>
        <w:t>B.2  Cell-source and druggability annotation</w:t>
      </w:r>
    </w:p>
    <w:p>
      <w:r>
        <w:rPr>
          <w:b w:val="0"/>
          <w:i w:val="0"/>
          <w:sz w:val="21"/>
        </w:rPr>
        <w:t>For every retained protein the resource stores its immune class (the pathway that defines it) and its blood-cell lineage of origin from HPA sorted-cell expression. This is what later permits a disease signal to be mapped back to granulocyte, myeloid/monocyte, dendritic, T-, B- or NK-cell biology. It also stores the HPA protein class and drug-target/FDA-target flags, secretome location and membrane topology, which feed the druggability component of the novelty engine (secreted and single-pass receptor proteins are the classes most tractable to antibodies and biologics).</w:t>
      </w:r>
    </w:p>
    <w:p>
      <w:r>
        <w:br w:type="page"/>
      </w:r>
    </w:p>
    <w:p>
      <w:pPr>
        <w:pStyle w:val="Heading1"/>
      </w:pPr>
      <w:r>
        <w:rPr>
          <w:color w:val="1F4E79"/>
        </w:rPr>
        <w:t>PART C · Genetic instruments</w:t>
      </w:r>
    </w:p>
    <w:p>
      <w:r>
        <w:rPr>
          <w:b w:val="0"/>
          <w:i w:val="0"/>
          <w:sz w:val="21"/>
        </w:rPr>
        <w:t>Mendelian randomization (MR) uses a genetic variant as a natural experiment: because alleles are assigned at conception and are largely independent of later confounders, a variant that raises a protein’s abundance and is also associated with disease provides directional, confounding-resistant evidence that the protein influences the disease. The quality of an MR analysis is the quality of its instruments; Part C documents how they are built.</w:t>
      </w:r>
    </w:p>
    <w:p>
      <w:pPr>
        <w:pStyle w:val="Heading2"/>
      </w:pPr>
      <w:r>
        <w:rPr>
          <w:color w:val="2E629E"/>
        </w:rPr>
        <w:t>C.1  cis-instrument selection</w:t>
      </w:r>
    </w:p>
    <w:p>
      <w:r>
        <w:rPr>
          <w:b w:val="0"/>
          <w:i w:val="0"/>
          <w:sz w:val="21"/>
        </w:rPr>
        <w:t>For each of the 812 immune genes with a usable signal, the single strongest cis-eQTL (the variant with the largest absolute expression Z-score within the gene’s cis window in eQTLGen) is chosen as a one-SNP instrument. A cis instrument is preferred to a trans instrument because a variant acting in cis on the very gene it neighbours is far more likely to affect disease through that gene’s protein product (satisfying the MR exclusion-restriction assumption) than a distant trans variant, which may act through many genes. Single strongest-cis instruments are the standard, conservative choice for protein/expression MR and are robust to the horizontal-pleiotropy problems that afflict multi-variant polygenic instruments.</w:t>
      </w:r>
    </w:p>
    <w:p>
      <w:pPr>
        <w:pStyle w:val="Heading2"/>
      </w:pPr>
      <w:r>
        <w:rPr>
          <w:color w:val="2E629E"/>
        </w:rPr>
        <w:t>C.2  Reconstructing effect sizes from Z-scores (Zhu et al., 2016)</w:t>
      </w:r>
    </w:p>
    <w:p>
      <w:r>
        <w:rPr>
          <w:b w:val="0"/>
          <w:i w:val="0"/>
          <w:sz w:val="21"/>
        </w:rPr>
        <w:t>eQTLGen reports a Z-score, not a beta on an interpretable scale. Using the effect-allele frequency p and the study sample size n, the standardised effect size and its standard error are reconstructed with the Zhu et al. (2016) transformation:</w:t>
      </w:r>
    </w:p>
    <w:p>
      <w:pPr>
        <w:jc w:val="center"/>
      </w:pPr>
      <w:r>
        <w:rPr>
          <w:rFonts w:ascii="Consolas" w:hAnsi="Consolas"/>
          <w:color w:val="222222"/>
          <w:sz w:val="20"/>
        </w:rPr>
        <w:t>denom = 2 · p · (1 − p) · (n + Z²)</w:t>
      </w:r>
    </w:p>
    <w:p>
      <w:pPr>
        <w:jc w:val="center"/>
      </w:pPr>
      <w:r>
        <w:rPr>
          <w:rFonts w:ascii="Consolas" w:hAnsi="Consolas"/>
          <w:color w:val="222222"/>
          <w:sz w:val="20"/>
        </w:rPr>
        <w:t>beta = Z / √denom          se = 1 / √denom</w:t>
      </w:r>
    </w:p>
    <w:p>
      <w:r>
        <w:rPr>
          <w:b w:val="0"/>
          <w:i w:val="0"/>
          <w:sz w:val="21"/>
        </w:rPr>
        <w:t>This yields a beta and standard error on the standardised-genotype scale that are directly usable in the Wald-ratio MR and, later, in the colocalization variance terms. The same allele frequency (taken from the FinnGen control/reference side) is used consistently so that exposure and outcome are on compatible scales.</w:t>
      </w:r>
    </w:p>
    <w:p>
      <w:pPr>
        <w:pStyle w:val="Heading2"/>
      </w:pPr>
      <w:r>
        <w:rPr>
          <w:color w:val="2E629E"/>
        </w:rPr>
        <w:t>C.3  Harmonisation</w:t>
      </w:r>
    </w:p>
    <w:p>
      <w:r>
        <w:rPr>
          <w:b w:val="0"/>
          <w:i w:val="0"/>
          <w:sz w:val="21"/>
        </w:rPr>
        <w:t>Exposure and outcome are harmonised to a common effect allele before any ratio is formed. Palindromic variants (A/T or C/G, whose strand is ambiguous) are removed rather than guessed. Alleles are aligned so that the eQTL effect is expressed with respect to the expression-increasing allele; the disease effect is flipped to match. Variants absent from the outcome GWAS are dropped. This harmonisation is applied identically in the transcript arm, the protein arm and the replication arm so that the direction of every reported effect is mutually comparable.</w:t>
      </w:r>
    </w:p>
    <w:p>
      <w:r>
        <w:br w:type="page"/>
      </w:r>
    </w:p>
    <w:p>
      <w:pPr>
        <w:pStyle w:val="Heading1"/>
      </w:pPr>
      <w:r>
        <w:rPr>
          <w:color w:val="1F4E79"/>
        </w:rPr>
        <w:t>PART D · Causal inference by Mendelian randomization</w:t>
      </w:r>
    </w:p>
    <w:p>
      <w:pPr>
        <w:pStyle w:val="Heading2"/>
      </w:pPr>
      <w:r>
        <w:rPr>
          <w:color w:val="2E629E"/>
        </w:rPr>
        <w:t>D.1  The Wald ratio</w:t>
      </w:r>
    </w:p>
    <w:p>
      <w:r>
        <w:rPr>
          <w:b w:val="0"/>
          <w:i w:val="0"/>
          <w:sz w:val="21"/>
        </w:rPr>
        <w:t>With a single instrument, the causal effect of the exposure (protein/transcript abundance) on the outcome (disease liability) is the Wald ratio — the ratio of the variant’s effect on the outcome to its effect on the exposure:</w:t>
      </w:r>
    </w:p>
    <w:p>
      <w:pPr>
        <w:jc w:val="center"/>
      </w:pPr>
      <w:r>
        <w:rPr>
          <w:rFonts w:ascii="Consolas" w:hAnsi="Consolas"/>
          <w:color w:val="222222"/>
          <w:sz w:val="20"/>
        </w:rPr>
        <w:t>beta_MR = beta_outcome / beta_exposure</w:t>
      </w:r>
    </w:p>
    <w:p>
      <w:pPr>
        <w:jc w:val="center"/>
      </w:pPr>
      <w:r>
        <w:rPr>
          <w:rFonts w:ascii="Consolas" w:hAnsi="Consolas"/>
          <w:color w:val="222222"/>
          <w:sz w:val="20"/>
        </w:rPr>
        <w:t>se_MR   = se_outcome / |beta_exposure|      (leading-order / delta method)</w:t>
      </w:r>
    </w:p>
    <w:p>
      <w:r>
        <w:rPr>
          <w:b w:val="0"/>
          <w:i w:val="0"/>
          <w:sz w:val="21"/>
        </w:rPr>
        <w:t>The estimate is exponentiated to an odds ratio (OR) so that OR&gt;1 means genetically higher protein raises disease risk, and OR&lt;1 means it lowers risk. This single directional number is the atomic unit of the atlas: it is not merely a correlation but a genetically-anchored estimate of the sign and approximate magnitude of a protein’s causal effect on a disease.</w:t>
      </w:r>
    </w:p>
    <w:p>
      <w:pPr>
        <w:pStyle w:val="Heading2"/>
      </w:pPr>
      <w:r>
        <w:rPr>
          <w:color w:val="2E629E"/>
        </w:rPr>
        <w:t>D.2  Multiple-testing control</w:t>
      </w:r>
    </w:p>
    <w:p>
      <w:r>
        <w:rPr>
          <w:b w:val="0"/>
          <w:i w:val="0"/>
          <w:sz w:val="21"/>
        </w:rPr>
        <w:t>Across the discovery arm, 812 immune instruments are tested against 13 immune diseases, giving 8,749 gene–disease tests. The false-discovery rate is controlled at 5% by the Benjamini–Hochberg procedure, yielding 32 significant gene–disease pairs. In the pan-phenome arm the same instruments are tested against all 28 diseases (18,844 tests), yielding 176 FDR-significant pairs. FDR rather than Bonferroni is used because the tests are correlated (shared instruments, related diseases) and the aim is discovery of a credible candidate set for downstream triangulation, not a single confirmatory decision.</w:t>
      </w:r>
    </w:p>
    <w:p>
      <w:pPr>
        <w:pStyle w:val="Heading2"/>
      </w:pPr>
      <w:r>
        <w:rPr>
          <w:color w:val="2E629E"/>
        </w:rPr>
        <w:t>D.3  Assumptions, and how each is addressed</w:t>
      </w:r>
    </w:p>
    <w:p>
      <w:pPr>
        <w:pStyle w:val="ListNumber"/>
      </w:pPr>
      <w:r>
        <w:rPr>
          <w:b/>
        </w:rPr>
        <w:t xml:space="preserve">Relevance: </w:t>
      </w:r>
      <w:r>
        <w:t>the instrument is associated with the exposure. Guaranteed by construction — the strongest genome-wide-significant cis-eQTL is chosen.</w:t>
      </w:r>
    </w:p>
    <w:p>
      <w:pPr>
        <w:pStyle w:val="ListNumber"/>
      </w:pPr>
      <w:r>
        <w:rPr>
          <w:b/>
        </w:rPr>
        <w:t xml:space="preserve">Independence: </w:t>
      </w:r>
      <w:r>
        <w:t>the instrument shares no confounder with the outcome. Made plausible by using cis variants and by flagging/withholding the MHC, the archetypal confounded region.</w:t>
      </w:r>
    </w:p>
    <w:p>
      <w:pPr>
        <w:pStyle w:val="ListNumber"/>
      </w:pPr>
      <w:r>
        <w:rPr>
          <w:b/>
        </w:rPr>
        <w:t xml:space="preserve">Exclusion restriction: </w:t>
      </w:r>
      <w:r>
        <w:t>the instrument affects the outcome only through the exposure. This is the hard assumption; a single cis-eQTL can still act through a neighbouring gene or through the protein rather than the transcript. This is exactly why the atlas does not stop at MR but triangulates with colocalization (Part E), an orthogonal protein-level instrument (Part F) and independent replication (Part G).</w:t>
      </w:r>
    </w:p>
    <w:p>
      <w:r>
        <w:rPr>
          <w:b w:val="0"/>
          <w:i w:val="0"/>
          <w:sz w:val="21"/>
        </w:rPr>
        <w:t>Two additional guards are built in. First, the MHC region on chromosome 6 (and complement genes such as C2/C4A/C4B) is flagged for extreme long-range linkage disequilibrium; signals there are capped at “nomination” and never promoted to a causal claim, because LD there routinely manufactures spurious colocalization. Second, the positive controls — genes that are the targets of approved drugs — are used as an internal calibration: a pipeline that blindly recovers IL6ST (tocilizumab) in rheumatoid arthritis, CTLA4 (abatacept) in autoimmune thyroid disease and TNFRSF1A (etanercept) in ankylosing spondylitis, with the correct direction, is calibrated to be believed when it points somewhere new.</w:t>
      </w:r>
    </w:p>
    <w:p>
      <w:pPr>
        <w:pStyle w:val="Heading2"/>
      </w:pPr>
      <w:r>
        <w:rPr>
          <w:color w:val="2E629E"/>
        </w:rPr>
        <w:t>D.4  Directionality, sensitivity and statistical power</w:t>
      </w:r>
    </w:p>
    <w:p>
      <w:r>
        <w:rPr>
          <w:b w:val="0"/>
          <w:i w:val="0"/>
          <w:sz w:val="21"/>
        </w:rPr>
        <w:t>Three further considerations govern whether a Wald-ratio estimate deserves attention. First, directionality: because both the exposure (expression) and the outcome (disease) are associated with the same variant, one must be satisfied that the variant acts on expression first and disease second, not the reverse. Using a cis-eQTL as the instrument makes the expression-first ordering mechanistically compelling (a nearby regulatory variant plausibly sets transcript level, which is upstream of a complex disease), and a Steiger-type check — the variant explains far more variance in cis-expression than in disease liability — is consistent with that ordering for the reported hits. Second, sensitivity: a single-instrument Wald ratio cannot run the multi-instrument pleiotropy diagnostics (MR-Egger intercept, weighted median, MR-PRESSO) that require many variants, so the atlas deliberately does not claim to have excluded horizontal pleiotropy by MR alone. Instead it treats colocalization, protein-level triangulation and out-of-sample replication as the sensitivity analyses, each of which attacks a different failure mode (LD confounding, transcript-vs-protein discordance, and cohort-specific artefact respectively). Third, power: the precision of a Wald ratio is bounded by the strength of the instrument (the cis-eQTL F-statistic) and by the number of disease cases; weak instruments inflate the ratio’s variance. Because only genome-wide-significant cis-eQTLs are used, weak-instrument bias is minimised, but the corollary is that genes without a strong cis-eQTL simply cannot be tested — an absence of a hit is never interpreted as evidence of no effect.</w:t>
      </w:r>
    </w:p>
    <w:p>
      <w:r>
        <w:br w:type="page"/>
      </w:r>
    </w:p>
    <w:p>
      <w:pPr>
        <w:pStyle w:val="Heading1"/>
      </w:pPr>
      <w:r>
        <w:rPr>
          <w:color w:val="1F4E79"/>
        </w:rPr>
        <w:t>PART E · Statistical colocalization</w:t>
      </w:r>
    </w:p>
    <w:p>
      <w:r>
        <w:rPr>
          <w:b w:val="0"/>
          <w:i w:val="0"/>
          <w:sz w:val="21"/>
        </w:rPr>
        <w:t>MR can be fooled when the exposure variant and the true disease variant are merely in linkage disequilibrium rather than being one and the same. Colocalization tests exactly this: does the association signal for the protein and for the disease arise from a single shared causal variant?</w:t>
      </w:r>
    </w:p>
    <w:p>
      <w:pPr>
        <w:pStyle w:val="Heading2"/>
      </w:pPr>
      <w:r>
        <w:rPr>
          <w:color w:val="2E629E"/>
        </w:rPr>
        <w:t>E.1  coloc.abf and the Wakefield approximate Bayes factor</w:t>
      </w:r>
    </w:p>
    <w:p>
      <w:r>
        <w:rPr>
          <w:b w:val="0"/>
          <w:i w:val="0"/>
          <w:sz w:val="21"/>
        </w:rPr>
        <w:t>The Giambartolomei et al. (2014) coloc.abf framework evaluates five mutually exclusive hypotheses at a locus (H0 no signal; H1 exposure only; H2 outcome only; H3 two distinct causal variants; H4 one shared causal variant) and returns their posterior probabilities. Per SNP, the Wakefield approximate Bayes factor is computed in log space:</w:t>
      </w:r>
    </w:p>
    <w:p>
      <w:pPr>
        <w:jc w:val="center"/>
      </w:pPr>
      <w:r>
        <w:rPr>
          <w:rFonts w:ascii="Consolas" w:hAnsi="Consolas"/>
          <w:color w:val="222222"/>
          <w:sz w:val="20"/>
        </w:rPr>
        <w:t>r = W / (W + V)        lABF = 0.5 · ( log(1 − r) + r · Z² )</w:t>
      </w:r>
    </w:p>
    <w:p>
      <w:r>
        <w:rPr>
          <w:b w:val="0"/>
          <w:i w:val="0"/>
          <w:sz w:val="21"/>
        </w:rPr>
        <w:t>where V is the variant’s variance (the squared standard error) and W is the prior variance on the effect (W = 0.15² for the eQTL side, 0.20² for the GWAS side). Real FinnGen standard errors are used for the outcome, and Zhu-reconstructed standard errors for the exposure, so the Bayes factors reflect genuine per-variant precision. The H3 (two-variant) term is evaluated in log space to avoid numerical underflow. Default priors p1 = p2 = 1×10⁻⁴ (a variant is causal for exposure, or for outcome) and p12 = 1×10⁻⁵ (causal for both) are used throughout.</w:t>
      </w:r>
    </w:p>
    <w:p>
      <w:pPr>
        <w:pStyle w:val="Heading2"/>
      </w:pPr>
      <w:r>
        <w:rPr>
          <w:color w:val="2E629E"/>
        </w:rPr>
        <w:t>E.2  Caching the eQTL extract</w:t>
      </w:r>
    </w:p>
    <w:p>
      <w:r>
        <w:rPr>
          <w:b w:val="0"/>
          <w:i w:val="0"/>
          <w:sz w:val="21"/>
        </w:rPr>
        <w:t>The 127-million-row eQTLGen file is scanned once and the per-gene cis extracts are cached to a pickle. Colocalization then runs against the cache, and the cache is extended on demand when the pan-phenome arm introduces genes not previously seen. This makes the difference between an analysis that runs in minutes and one that re-reads 127 million rows per gene.</w:t>
      </w:r>
    </w:p>
    <w:p>
      <w:pPr>
        <w:pStyle w:val="Heading2"/>
      </w:pPr>
      <w:r>
        <w:rPr>
          <w:color w:val="2E629E"/>
        </w:rPr>
        <w:t>E.3  Interpretation and promotion rule</w:t>
      </w:r>
    </w:p>
    <w:p>
      <w:r>
        <w:rPr>
          <w:b w:val="0"/>
          <w:i w:val="0"/>
          <w:sz w:val="21"/>
        </w:rPr>
        <w:t>A posterior probability of a shared causal variant PP.H4 ≥ 0.8 promotes a locus from a genetically-supported nomination to a prioritised, transcript-level causal target. The method behaves as it should on the positive controls (IL6ST–rheumatoid arthritis PP.H4 = 1.00; CTLA4 &gt; 0.98; TNFSF14–multiple sclerosis &gt; 0.99). In the autoimmune core, 17 loci reach PP.H4 ≥ 0.8; in the pan-phenome arm, 52 loci do. Loci with strong MR but weak colocalization remain nominations, and MHC loci are never promoted regardless of PP.H4.</w:t>
      </w:r>
    </w:p>
    <w:p>
      <w:pPr>
        <w:pStyle w:val="Heading2"/>
      </w:pPr>
      <w:r>
        <w:rPr>
          <w:color w:val="2E629E"/>
        </w:rPr>
        <w:t>E.4  The five hypotheses, and what each rejection means</w:t>
      </w:r>
    </w:p>
    <w:p>
      <w:r>
        <w:rPr>
          <w:b w:val="0"/>
          <w:i w:val="0"/>
          <w:sz w:val="21"/>
        </w:rPr>
        <w:t>coloc.abf partitions the posterior over five hypotheses, and the value of the method lies in distinguishing the two that look identical to MR:</w:t>
      </w:r>
    </w:p>
    <w:p>
      <w:pPr>
        <w:pStyle w:val="ListNumber"/>
      </w:pPr>
      <w:r>
        <w:rPr>
          <w:b/>
        </w:rPr>
        <w:t xml:space="preserve">H0: </w:t>
      </w:r>
      <w:r>
        <w:t>no association with either trait at the locus.</w:t>
      </w:r>
    </w:p>
    <w:p>
      <w:pPr>
        <w:pStyle w:val="ListNumber"/>
      </w:pPr>
      <w:r>
        <w:rPr>
          <w:b/>
        </w:rPr>
        <w:t xml:space="preserve">H1: </w:t>
      </w:r>
      <w:r>
        <w:t>a causal variant for the exposure only (the protein signal is real, the disease signal is not here).</w:t>
      </w:r>
    </w:p>
    <w:p>
      <w:pPr>
        <w:pStyle w:val="ListNumber"/>
      </w:pPr>
      <w:r>
        <w:rPr>
          <w:b/>
        </w:rPr>
        <w:t xml:space="preserve">H2: </w:t>
      </w:r>
      <w:r>
        <w:t>a causal variant for the outcome only (the disease signal is real, the protein signal is not here).</w:t>
      </w:r>
    </w:p>
    <w:p>
      <w:pPr>
        <w:pStyle w:val="ListNumber"/>
      </w:pPr>
      <w:r>
        <w:rPr>
          <w:b/>
        </w:rPr>
        <w:t xml:space="preserve">H3: </w:t>
      </w:r>
      <w:r>
        <w:t>two DISTINCT causal variants in LD — the exposure and disease signals are driven by different variants that merely sit close together. This is the scenario that fools MR into a false positive.</w:t>
      </w:r>
    </w:p>
    <w:p>
      <w:pPr>
        <w:pStyle w:val="ListNumber"/>
      </w:pPr>
      <w:r>
        <w:rPr>
          <w:b/>
        </w:rPr>
        <w:t xml:space="preserve">H4: </w:t>
      </w:r>
      <w:r>
        <w:t>one SHARED causal variant drives both — the evidence the atlas requires for a causal claim.</w:t>
      </w:r>
    </w:p>
    <w:p>
      <w:r>
        <w:rPr>
          <w:b w:val="0"/>
          <w:i w:val="0"/>
          <w:sz w:val="21"/>
        </w:rPr>
        <w:t>A high PP.H4 rules out H3 specifically, which is why colocalization is the necessary complement to MR: MR establishes a directional dose–response, and colocalization establishes that the same variant is responsible for both ends of it. A locus with strong MR but high PP.H3 is downgraded, because its MR estimate is most likely an LD artefact.</w:t>
      </w:r>
    </w:p>
    <w:p>
      <w:pPr>
        <w:pStyle w:val="Heading2"/>
      </w:pPr>
      <w:r>
        <w:rPr>
          <w:color w:val="2E629E"/>
        </w:rPr>
        <w:t>E.5  Prior sensitivity and robustness</w:t>
      </w:r>
    </w:p>
    <w:p>
      <w:r>
        <w:rPr>
          <w:b w:val="0"/>
          <w:i w:val="0"/>
          <w:sz w:val="21"/>
        </w:rPr>
        <w:t>The posterior depends on the priors p1, p2 and p12. The atlas uses the community-standard defaults (p1 = p2 = 1×10⁻⁴, p12 = 1×10⁻⁵), under which the prior odds favour distinct signals over a shared one; a locus must therefore present strong data to reach PP.H4 ≥ 0.8, making the threshold conservative. Because the reported colocalizations are typically decisive (positive controls at PP.H4 ≈ 1.00 and leading nominations at PP.H4 &gt; 0.97), they are insensitive to reasonable perturbation of p12; a signal that flips across an order-of-magnitude change in the prior would not have been promoted. The number of shared variants (nsnp) is reported per locus so that thin overlaps — where the posterior is data-starved — can be identified and discounted.</w:t>
      </w:r>
    </w:p>
    <w:p>
      <w:r>
        <w:br w:type="page"/>
      </w:r>
    </w:p>
    <w:p>
      <w:pPr>
        <w:pStyle w:val="Heading1"/>
      </w:pPr>
      <w:r>
        <w:rPr>
          <w:color w:val="1F4E79"/>
        </w:rPr>
        <w:t>PART F · Protein-level validation and eQTL–pQTL concordance</w:t>
      </w:r>
    </w:p>
    <w:p>
      <w:r>
        <w:rPr>
          <w:b w:val="0"/>
          <w:i w:val="0"/>
          <w:sz w:val="21"/>
        </w:rPr>
        <w:t>A cis-eQTL tells you about messenger RNA; a therapeutic acts on protein. The atlas therefore repeats the entire MR-plus-colocalization logic using the INTERVAL plasma cis-pQTL as a protein-level instrument for every significant gene that has a matched aptamer.</w:t>
      </w:r>
    </w:p>
    <w:p>
      <w:pPr>
        <w:pStyle w:val="Heading2"/>
      </w:pPr>
      <w:r>
        <w:rPr>
          <w:color w:val="2E629E"/>
        </w:rPr>
        <w:t>F.1  Protein-level MR and colocalization</w:t>
      </w:r>
    </w:p>
    <w:p>
      <w:r>
        <w:rPr>
          <w:b w:val="0"/>
          <w:i w:val="0"/>
          <w:sz w:val="21"/>
        </w:rPr>
        <w:t>For each significant gene, the strongest cis-pQTL within ±500 kb drives a Wald-ratio MR against the disease using real betas and standard errors on both sides, and coloc.abf is applied over the shared cis variants. Of the significant genes, 18 had a matched INTERVAL aptamer (intracellular and MHC-region proteins such as CTLA4, C2 and HNMT have no plasma aptamer and cannot be tested this way).</w:t>
      </w:r>
    </w:p>
    <w:p>
      <w:pPr>
        <w:pStyle w:val="Heading2"/>
      </w:pPr>
      <w:r>
        <w:rPr>
          <w:color w:val="2E629E"/>
        </w:rPr>
        <w:t>F.2  The promotion rule and the value of discordance</w:t>
      </w:r>
    </w:p>
    <w:p>
      <w:r>
        <w:rPr>
          <w:b w:val="0"/>
          <w:i w:val="0"/>
          <w:sz w:val="21"/>
        </w:rPr>
        <w:t>A gene–disease pair is promoted to a protein-level causal target (the highest tier reached) only if the transcript- and protein-level MR are directionally concordant AND the protein-level colocalization reaches PP.H4 ≥ 0.8. Two pairs meet this bar: TNFSF14 in multiple sclerosis and SWAP70 in rheumatoid arthritis, both colocalizing at transcript and protein (PP.H4 &gt; 0.97). Of the 18 testable pairs, 9 are directionally concordant and 9 discordant. The discordances are reported, not hidden, because they are informative: IL6ST reverses sign between transcript and plasma protein, consistent with the known biology of soluble gp130 as an inhibitor of IL-6 trans-signalling. A discordance tells a drug-hunter that a transcript-level nomination should not yet be read as a protein-level causal claim — exactly the distinction a therapeutic programme needs before committing to a modality.</w:t>
      </w:r>
    </w:p>
    <w:p>
      <w:r>
        <w:br w:type="page"/>
      </w:r>
    </w:p>
    <w:p>
      <w:pPr>
        <w:pStyle w:val="Heading1"/>
      </w:pPr>
      <w:r>
        <w:rPr>
          <w:color w:val="1F4E79"/>
        </w:rPr>
        <w:t>PART G · Pan-phenome expansion and the novelty-priority engine</w:t>
      </w:r>
    </w:p>
    <w:p>
      <w:pPr>
        <w:pStyle w:val="Heading2"/>
      </w:pPr>
      <w:r>
        <w:rPr>
          <w:color w:val="2E629E"/>
        </w:rPr>
        <w:t>G.1  From autoimmunity to a five-category phenome</w:t>
      </w:r>
    </w:p>
    <w:p>
      <w:r>
        <w:rPr>
          <w:b w:val="0"/>
          <w:i w:val="0"/>
          <w:sz w:val="21"/>
        </w:rPr>
        <w:t>The same 812 immune instruments are re-run against all 28 diseases, annotated by category (autoimmune, cardiovascular, metabolic, renal, neuro/aging). This yields 176 FDR-significant causal gene–disease pairs — cardiovascular 67, autoimmune 42, metabolic 35, neuro/aging 31, renal 1 — turning a single-disease-family resource into a multi-system causal map. New, non-autoimmune signals emerge (for example ACE and IFNGR2 in hypertension, PSRC1 and PLAUR in coronary heart disease, PROCR in venous thromboembolism, and ACE colocalizing with dementia and Alzheimer’s disease at PP.H4 &gt; 0.97).</w:t>
      </w:r>
    </w:p>
    <w:p>
      <w:pPr>
        <w:pStyle w:val="Heading2"/>
      </w:pPr>
      <w:r>
        <w:rPr>
          <w:color w:val="2E629E"/>
        </w:rPr>
        <w:t>G.2  Cross-category pleiotropy, cell-source and direction mapping</w:t>
      </w:r>
    </w:p>
    <w:p>
      <w:r>
        <w:rPr>
          <w:b w:val="0"/>
          <w:i w:val="0"/>
          <w:sz w:val="21"/>
        </w:rPr>
        <w:t>Three analyses exploit the breadth. (i) Pleiotropy: genes causal in ≥ 2 disease categories are extracted, exposing shared immune control points that link immune and cardiometabolic disease (IFNGR2, SWAP70, MERTK, MPO, SPINK8, PIK3IP1; PM20D1 spans three categories). (ii) Cell-source enrichment: causal targets are mapped back to their blood-cell lineage and tested by Fisher’s exact test; granulocyte-sourced proteins carry the strongest causal enrichment across the phenome. (iii) Direction map: each of the 176 signals is encoded as protein-raising-risk (OR&gt;1 → blockade/neutralisation strategy) or protein-lowering-protective (OR&lt;1 → agonism/replacement strategy), with MHC/LD-confounded loci held separately.</w:t>
      </w:r>
    </w:p>
    <w:p>
      <w:pPr>
        <w:pStyle w:val="Heading2"/>
      </w:pPr>
      <w:r>
        <w:rPr>
          <w:color w:val="2E629E"/>
        </w:rPr>
        <w:t>G.3  The integrated novelty-priority engine</w:t>
      </w:r>
    </w:p>
    <w:p>
      <w:r>
        <w:rPr>
          <w:b w:val="0"/>
          <w:i w:val="0"/>
          <w:sz w:val="21"/>
        </w:rPr>
        <w:t>All real evidence layers are combined into a single, auditable priority score per gene–disease pair, designed to surface genuinely new biology rather than re-discover approved drugs:</w:t>
      </w:r>
    </w:p>
    <w:p>
      <w:pPr>
        <w:jc w:val="center"/>
      </w:pPr>
      <w:r>
        <w:rPr>
          <w:rFonts w:ascii="Consolas" w:hAnsi="Consolas"/>
          <w:color w:val="222222"/>
          <w:sz w:val="20"/>
        </w:rPr>
        <w:t>NoveltyPriority = s_causal + s_coloc + s_pleio + s_drug + s_cell − p_known − p_mhc</w:t>
      </w:r>
    </w:p>
    <w:p>
      <w:r>
        <w:rPr>
          <w:b w:val="0"/>
          <w:i w:val="0"/>
          <w:sz w:val="21"/>
        </w:rPr>
        <w:t>with components: s_causal = min(−log10 FDR / 5, 2) rewards causal strength; s_coloc = PP.H4 rewards a shared variant; s_pleio = (n_categories − 1) × 0.5 rewards cross-system action; s_drug scales with HPA-derived druggability (FDA-target ×2, plus secreted/membrane tractability); s_cell = 0.5 credits a defined cell source; and the penalties p_known = 1.5 (an approved-drug axis such as CTLA4, IL6ST, IL2RA) and p_mhc = 2.0 (MHC/LD caution) push known and confounded axes down. Applying the engine leaves 45 novel colocalized targets, topped by ACE→dementia, IFNGR2→hypertension/psoriasis, ERBB3→type-1 diabetes, PLAUR→coronary heart disease and SPINK8→type-2 diabetes.</w:t>
      </w:r>
    </w:p>
    <w:p>
      <w:r>
        <w:br w:type="page"/>
      </w:r>
    </w:p>
    <w:p>
      <w:pPr>
        <w:pStyle w:val="Heading1"/>
      </w:pPr>
      <w:r>
        <w:rPr>
          <w:color w:val="1F4E79"/>
        </w:rPr>
        <w:t>PART H · The Plasma Immune Risk Score (PIRS): from data to trained algorithm</w:t>
      </w:r>
    </w:p>
    <w:p>
      <w:r>
        <w:rPr>
          <w:b w:val="0"/>
          <w:i w:val="0"/>
          <w:sz w:val="21"/>
        </w:rPr>
        <w:t>Everything above is a summary-statistics causal resource. The PIRS is its predictive counterpart: a supervised model that takes an individual’s measured plasma immune proteome and returns a calibrated, disease-specific future-risk estimate. Part H documents the model in full — inputs, feature space, algorithm, training procedure, outputs, and how to score new individuals — exactly as implemented in the trainer (src/22_train_pirs.py).</w:t>
      </w:r>
    </w:p>
    <w:p>
      <w:pPr>
        <w:pStyle w:val="Heading2"/>
      </w:pPr>
      <w:r>
        <w:rPr>
          <w:color w:val="2E629E"/>
        </w:rPr>
        <w:t>H.1  Design philosophy: bring your own data, never fabricate</w:t>
      </w:r>
    </w:p>
    <w:p>
      <w:r>
        <w:rPr>
          <w:b w:val="0"/>
          <w:i w:val="0"/>
          <w:sz w:val="21"/>
        </w:rPr>
        <w:t>The trainer ships NO individual-level data and never invents any. It is data-source-agnostic: it runs on any cohort the user is authorised to analyse (UK Biobank under an approved application, a hospital cohort, or a fresh Olink run). If input files are absent it prints the exact schema it needs, can write blank templates, and exits cleanly with status 0 rather than fabricating a result. This is the same no-fabrication discipline that governs the whole atlas, applied to the predictive layer.</w:t>
      </w:r>
    </w:p>
    <w:p>
      <w:pPr>
        <w:pStyle w:val="Heading2"/>
      </w:pPr>
      <w:r>
        <w:rPr>
          <w:color w:val="2E629E"/>
        </w:rPr>
        <w:t>H.2  Inputs and schema</w:t>
      </w:r>
    </w:p>
    <w:p>
      <w:r>
        <w:rPr>
          <w:b w:val="0"/>
          <w:i w:val="0"/>
          <w:sz w:val="21"/>
        </w:rPr>
        <w:t>Three tab- or comma-separated tables are supplied on the command line; the identifier column name is configurable (default 'id').</w:t>
      </w:r>
    </w:p>
    <w:p>
      <w:pPr>
        <w:pStyle w:val="ListBullet"/>
      </w:pPr>
      <w:r>
        <w:rPr>
          <w:b/>
        </w:rPr>
        <w:t xml:space="preserve">npx: </w:t>
      </w:r>
      <w:r>
        <w:t>participant × protein matrix. Rows are participants; one column is the id; the remaining columns are per-protein values (Olink NPX log2, or any normalised expression). Protein columns may be named by Olink assay ID OR by gene symbol — both are matched against the curated immune panel.</w:t>
      </w:r>
    </w:p>
    <w:p>
      <w:pPr>
        <w:pStyle w:val="ListBullet"/>
      </w:pPr>
      <w:r>
        <w:rPr>
          <w:b/>
        </w:rPr>
        <w:t xml:space="preserve">outcomes: </w:t>
      </w:r>
      <w:r>
        <w:t>survival labels, one row per id × disease, with columns id, disease, event (1 = incident case, 0 = censored) and time_years (follow-up from baseline to first event or censoring).</w:t>
      </w:r>
    </w:p>
    <w:p>
      <w:pPr>
        <w:pStyle w:val="ListBullet"/>
      </w:pPr>
      <w:r>
        <w:rPr>
          <w:b/>
        </w:rPr>
        <w:t xml:space="preserve">covariates (optional): </w:t>
      </w:r>
      <w:r>
        <w:t>confounders (id, age, sex, …), merged when present.</w:t>
      </w:r>
    </w:p>
    <w:p>
      <w:pPr>
        <w:pStyle w:val="Heading2"/>
      </w:pPr>
      <w:r>
        <w:rPr>
          <w:color w:val="2E629E"/>
        </w:rPr>
        <w:t>H.3  Feature space: restriction to the curated immunome</w:t>
      </w:r>
    </w:p>
    <w:p>
      <w:r>
        <w:rPr>
          <w:b w:val="0"/>
          <w:i w:val="0"/>
          <w:sz w:val="21"/>
        </w:rPr>
        <w:t>The model does not use all measured proteins. It intersects the supplied proteomic columns with the 1,007 curated plasma immune proteins (matching by Olink ID or gene symbol) and trains only on that immune feature set. This is a deliberate, mechanistically-motivated dimensionality reduction: it focuses the model on the biology the atlas has causally characterised, improves the events-per-feature ratio, and makes the resulting weights interpretable as immune biology rather than as an opaque proteome-wide signature. If none of the supplied columns match the immune panel the trainer stops with an explicit error rather than silently training on the wrong features.</w:t>
      </w:r>
    </w:p>
    <w:p>
      <w:pPr>
        <w:pStyle w:val="Heading2"/>
      </w:pPr>
      <w:r>
        <w:rPr>
          <w:color w:val="2E629E"/>
        </w:rPr>
        <w:t>H.4  Algorithm: cross-validated elastic-net survival</w:t>
      </w:r>
    </w:p>
    <w:p>
      <w:r>
        <w:rPr>
          <w:b w:val="0"/>
          <w:i w:val="0"/>
          <w:sz w:val="21"/>
        </w:rPr>
        <w:t>The core estimator is a penalised (elastic-net) survival model. Elastic net combines an L1 (lasso) penalty, which performs feature selection by driving most protein weights to exactly zero, with an L2 (ridge) penalty, which stabilises the estimates when proteins are correlated (as immune proteins frequently are, moving together within pathways). The mixing parameter l1_ratio (default 0.5) balances the two. Penalisation is essential here because the immune feature space (up to ~1,007 proteins) is large relative to the number of incident events in most cohorts; an unpenalised model would overfit.</w:t>
      </w:r>
    </w:p>
    <w:p>
      <w:r>
        <w:rPr>
          <w:b w:val="0"/>
          <w:i w:val="0"/>
          <w:sz w:val="21"/>
        </w:rPr>
        <w:t>The trainer auto-selects the best available survival backend so it runs in any environment:</w:t>
      </w:r>
    </w:p>
    <w:p>
      <w:pPr>
        <w:pStyle w:val="ListNumber"/>
      </w:pPr>
      <w:r>
        <w:rPr>
          <w:b/>
        </w:rPr>
        <w:t xml:space="preserve">coxnet: </w:t>
      </w:r>
      <w:r>
        <w:t>scikit-survival CoxnetSurvivalAnalysis — a true elastic-net Cox proportional-hazards model, the preferred backend; risk is the linear predictor and discrimination is Harrell’s C-index for right-censored data.</w:t>
      </w:r>
    </w:p>
    <w:p>
      <w:pPr>
        <w:pStyle w:val="ListNumber"/>
      </w:pPr>
      <w:r>
        <w:rPr>
          <w:b/>
        </w:rPr>
        <w:t xml:space="preserve">lifelines: </w:t>
      </w:r>
      <w:r>
        <w:t>lifelines CoxPHFitter with an elastic-net penalty — an equivalent Cox model used when scikit-survival is unavailable.</w:t>
      </w:r>
    </w:p>
    <w:p>
      <w:pPr>
        <w:pStyle w:val="ListNumber"/>
      </w:pPr>
      <w:r>
        <w:rPr>
          <w:b/>
        </w:rPr>
        <w:t xml:space="preserve">logistic: </w:t>
      </w:r>
      <w:r>
        <w:t>an elastic-net logistic regression on a fixed-horizon label (event within the horizon, default 10 years), scored by AUROC — a graceful fallback that needs no survival library. It answers a slightly different question (risk by a fixed horizon rather than the full hazard) but keeps the pipeline runnable everywhere.</w:t>
      </w:r>
    </w:p>
    <w:p>
      <w:r>
        <w:rPr>
          <w:b w:val="0"/>
          <w:i w:val="0"/>
          <w:sz w:val="21"/>
        </w:rPr>
        <w:t>Every backend is wrapped in the same preprocessing pipeline: median imputation of missing protein values followed by standardisation (zero mean, unit variance). Standardisation puts all proteins on a common scale so the penalty is applied fairly and so the learned weights are directly comparable across proteins.</w:t>
      </w:r>
    </w:p>
    <w:p>
      <w:pPr>
        <w:pStyle w:val="Heading2"/>
      </w:pPr>
      <w:r>
        <w:rPr>
          <w:color w:val="2E629E"/>
        </w:rPr>
        <w:t>H.5  Training procedure and honest evaluation</w:t>
      </w:r>
    </w:p>
    <w:p>
      <w:r>
        <w:rPr>
          <w:b w:val="0"/>
          <w:i w:val="0"/>
          <w:sz w:val="21"/>
        </w:rPr>
        <w:t>Training proceeds per disease. For a given disease the proteomic matrix is merged with that disease’s survival labels; diseases with fewer than a minimum number of incident events (default 50) are skipped with a message, because too few events cannot support a stable high-dimensional model. Discrimination is estimated by stratified k-fold cross-validation (default 5 folds, stratified on event status): in each fold the preprocessing is fitted on the training partition ONLY and then applied to the held-out partition, so no information from the test fold leaks into imputation or scaling. The per-fold C-index (or AUROC) values are averaged to give an out-of-sample discrimination estimate with a standard deviation. Only after cross-validated evaluation is the final model refitted on all participants to produce the deployable weights. In an end-to-end synthetic test the pipeline achieved a cross-validated C-index of 0.777 and correctly recovered the planted risk proteins, confirming the estimator, the leakage-free cross-validation and the weight extraction all behave as intended.</w:t>
      </w:r>
    </w:p>
    <w:p>
      <w:pPr>
        <w:pStyle w:val="Heading2"/>
      </w:pPr>
      <w:r>
        <w:rPr>
          <w:color w:val="2E629E"/>
        </w:rPr>
        <w:t>H.6  Outputs</w:t>
      </w:r>
    </w:p>
    <w:p>
      <w:pPr>
        <w:pStyle w:val="ListBullet"/>
      </w:pPr>
      <w:r>
        <w:rPr>
          <w:b/>
        </w:rPr>
        <w:t xml:space="preserve">pirs_&lt;disease&gt;_weights.tsv: </w:t>
      </w:r>
      <w:r>
        <w:t>per-protein PIRS coefficients for each disease — the score itself, sorted by absolute weight, with both the protein identifier and its gene symbol.</w:t>
      </w:r>
    </w:p>
    <w:p>
      <w:pPr>
        <w:pStyle w:val="ListBullet"/>
      </w:pPr>
      <w:r>
        <w:rPr>
          <w:b/>
        </w:rPr>
        <w:t xml:space="preserve">pirs_cv_metrics.tsv: </w:t>
      </w:r>
      <w:r>
        <w:t>per-disease cross-validated discrimination (C-index or AUROC, mean ± SD, event and participant counts, backend used).</w:t>
      </w:r>
    </w:p>
    <w:p>
      <w:pPr>
        <w:pStyle w:val="ListBullet"/>
      </w:pPr>
      <w:r>
        <w:rPr>
          <w:b/>
        </w:rPr>
        <w:t xml:space="preserve">pirs_&lt;disease&gt;_model.pkl: </w:t>
      </w:r>
      <w:r>
        <w:t>the fitted pipeline (imputer + scaler + model + feature list + backend), pickled for scoring new individuals.</w:t>
      </w:r>
    </w:p>
    <w:p>
      <w:pPr>
        <w:pStyle w:val="ListBullet"/>
      </w:pPr>
      <w:r>
        <w:rPr>
          <w:b/>
        </w:rPr>
        <w:t xml:space="preserve">pirs_performance.png: </w:t>
      </w:r>
      <w:r>
        <w:t>a horizontal-bar figure of discrimination across all modelled diseases, with the 0.5 no-discrimination reference line.</w:t>
      </w:r>
    </w:p>
    <w:p>
      <w:pPr>
        <w:pStyle w:val="Heading2"/>
      </w:pPr>
      <w:r>
        <w:rPr>
          <w:color w:val="2E629E"/>
        </w:rPr>
        <w:t>H.7  Scoring a new individual</w:t>
      </w:r>
    </w:p>
    <w:p>
      <w:r>
        <w:rPr>
          <w:b w:val="0"/>
          <w:i w:val="0"/>
          <w:sz w:val="21"/>
        </w:rPr>
        <w:t>To score a new person for a given disease: load the corresponding model pickle, take that person’s values for the model’s feature proteins (in the stored order), apply the saved imputer and scaler, and evaluate the model. The output is a relative risk/hazard for survival backends or a horizon-risk probability for the logistic backend. Because the imputer and scaler are stored inside the pickle, a new individual is transformed with exactly the statistics learned during training, which is what makes scores comparable across people and across time.</w:t>
      </w:r>
    </w:p>
    <w:p>
      <w:pPr>
        <w:pStyle w:val="Heading2"/>
      </w:pPr>
      <w:r>
        <w:rPr>
          <w:color w:val="2E629E"/>
        </w:rPr>
        <w:t>H.8  Hyperparameters and their tuning</w:t>
      </w:r>
    </w:p>
    <w:p>
      <w:r>
        <w:rPr>
          <w:b w:val="0"/>
          <w:i w:val="0"/>
          <w:sz w:val="21"/>
        </w:rPr>
        <w:t>The estimator exposes a small, interpretable set of hyperparameters. The elastic-net mixing parameter l1_ratio (default 0.5) trades sparsity against stability: values near 1 select a small number of proteins (useful when a compact, assayable panel is the goal), values near 0 retain more correlated proteins (useful when the aim is maximal discrimination). The regularisation strength is set along a coordinate-descent path (Coxnet’s alpha grid with alpha_min_ratio = 0.01), and the deployed coefficients are taken at the most permissive end of the path after cross-validated evaluation; a user who wishes to tune the penalty explicitly can nest an inner cross-validation over the alpha grid. The number of folds (default 5) and the minimum-events threshold (default 50) trade bias against variance and stability: more folds give a lower-bias but higher-variance performance estimate, and a higher event floor refuses to train scores that the data cannot support. All are single command-line flags, so the entire trade-off surface is reproducible and auditable.</w:t>
      </w:r>
    </w:p>
    <w:p>
      <w:pPr>
        <w:pStyle w:val="Heading2"/>
      </w:pPr>
      <w:r>
        <w:rPr>
          <w:color w:val="2E629E"/>
        </w:rPr>
        <w:t>H.9  Calibration versus discrimination</w:t>
      </w:r>
    </w:p>
    <w:p>
      <w:r>
        <w:rPr>
          <w:b w:val="0"/>
          <w:i w:val="0"/>
          <w:sz w:val="21"/>
        </w:rPr>
        <w:t>Cross-validated C-index (or AUROC) measures discrimination — whether higher-risk individuals are ranked above lower-risk ones — which is the property most relevant to enrichment and stratification. It does not by itself guarantee calibration (whether predicted absolute risks match observed frequencies). For applications that need absolute-risk estimates rather than rankings, the linear predictor from the Cox model should be combined with an estimated baseline hazard (Breslow) and assessed with a calibration plot and a calibration-in-the-large check in the target cohort. The trainer intentionally reports discrimination as the primary, cohort-portable metric and leaves absolute-risk calibration to the deployment cohort, because calibration is population-specific in a way that discrimination is less so.</w:t>
      </w:r>
    </w:p>
    <w:p>
      <w:pPr>
        <w:pStyle w:val="Heading2"/>
      </w:pPr>
      <w:r>
        <w:rPr>
          <w:color w:val="2E629E"/>
        </w:rPr>
        <w:t>H.10  Recommended external-validation protocol</w:t>
      </w:r>
    </w:p>
    <w:p>
      <w:r>
        <w:rPr>
          <w:b w:val="0"/>
          <w:i w:val="0"/>
          <w:sz w:val="21"/>
        </w:rPr>
        <w:t>A PIRS should be validated before use, and the resource makes the protocol explicit:</w:t>
      </w:r>
    </w:p>
    <w:p>
      <w:pPr>
        <w:pStyle w:val="ListNumber"/>
      </w:pPr>
      <w:r>
        <w:rPr>
          <w:b/>
        </w:rPr>
        <w:t xml:space="preserve">Internal: </w:t>
      </w:r>
      <w:r>
        <w:t>train and cross-validate in the development cohort; record discrimination and the non-zero protein weights.</w:t>
      </w:r>
    </w:p>
    <w:p>
      <w:pPr>
        <w:pStyle w:val="ListNumber"/>
      </w:pPr>
      <w:r>
        <w:rPr>
          <w:b/>
        </w:rPr>
        <w:t xml:space="preserve">Temporal/geographic external: </w:t>
      </w:r>
      <w:r>
        <w:t>apply the frozen model (imputer + scaler + coefficients) to a second, independent cohort with the same disease definition and follow-up structure; report discrimination and a calibration plot with no refitting.</w:t>
      </w:r>
    </w:p>
    <w:p>
      <w:pPr>
        <w:pStyle w:val="ListNumber"/>
      </w:pPr>
      <w:r>
        <w:rPr>
          <w:b/>
        </w:rPr>
        <w:t xml:space="preserve">Mechanistic cross-check: </w:t>
      </w:r>
      <w:r>
        <w:t>compare the non-zero PIRS proteins against the atlas’s causal nominations for the same and related diseases; concordance is evidence that prediction is mechanism-driven and therefore more likely to transport.</w:t>
      </w:r>
    </w:p>
    <w:p>
      <w:pPr>
        <w:pStyle w:val="ListNumber"/>
      </w:pPr>
      <w:r>
        <w:rPr>
          <w:b/>
        </w:rPr>
        <w:t xml:space="preserve">Incremental value: </w:t>
      </w:r>
      <w:r>
        <w:t>test whether the PIRS adds discrimination beyond age, sex and standard clinical predictors, since only incremental value justifies a new assay.</w:t>
      </w:r>
    </w:p>
    <w:p>
      <w:pPr>
        <w:pStyle w:val="Heading2"/>
      </w:pPr>
      <w:r>
        <w:rPr>
          <w:color w:val="2E629E"/>
        </w:rPr>
        <w:t>H.11  Missing data, batch effects and class imbalance</w:t>
      </w:r>
    </w:p>
    <w:p>
      <w:r>
        <w:rPr>
          <w:b w:val="0"/>
          <w:i w:val="0"/>
          <w:sz w:val="21"/>
        </w:rPr>
        <w:t>Three practical realities are handled explicitly. Missing protein values are median-imputed within the training fold only (never using test-fold information), which is appropriate for the missing-at-random pattern typical of below-detection Olink readings; users with substantial informative missingness should consider an indicator-augmented imputation. Batch and plate effects, which are common in large proteomic runs, should be regressed out or included as covariates before training, because the score assumes NPX is comparable across participants. Class imbalance — few incident cases relative to controls — is addressed structurally: the survival backends use all censored information rather than a rare-positive binary label, the cross-validation is stratified on event status so every fold contains cases, and the minimum-events floor prevents training a score that would be dominated by a handful of events.</w:t>
      </w:r>
    </w:p>
    <w:p>
      <w:r>
        <w:br w:type="page"/>
      </w:r>
    </w:p>
    <w:p>
      <w:pPr>
        <w:pStyle w:val="Heading1"/>
      </w:pPr>
      <w:r>
        <w:rPr>
          <w:color w:val="1F4E79"/>
        </w:rPr>
        <w:t>PART I · Why train with it, what it answers, and how research benefits</w:t>
      </w:r>
    </w:p>
    <w:p>
      <w:pPr>
        <w:pStyle w:val="Heading2"/>
      </w:pPr>
      <w:r>
        <w:rPr>
          <w:color w:val="2E629E"/>
        </w:rPr>
        <w:t>I.1  Why train a PIRS at all</w:t>
      </w:r>
    </w:p>
    <w:p>
      <w:r>
        <w:rPr>
          <w:b w:val="0"/>
          <w:i w:val="0"/>
          <w:sz w:val="21"/>
        </w:rPr>
        <w:t>Single proteins are noisy and pleiotropic; a weighted combination of mechanistically-selected immune proteins is more stable and more informative than any one marker. Training a PIRS converts a static proteomic measurement into an actionable, disease-specific risk estimate, and does so on the user’s own population so that the score is calibrated to their assay, ancestry and clinical setting rather than borrowed from an external cohort. Because the feature space is restricted to the causally-characterised immunome, the resulting weights are not a black box: each non-zero coefficient names an immune protein whose causal credibility for related diseases can be looked up directly in the atlas. Training is therefore valuable both predictively (a risk tool) and mechanistically (a hypothesis generator whose features are pre-vetted).</w:t>
      </w:r>
    </w:p>
    <w:p>
      <w:pPr>
        <w:pStyle w:val="Heading2"/>
      </w:pPr>
      <w:r>
        <w:rPr>
          <w:color w:val="2E629E"/>
        </w:rPr>
        <w:t>I.2  Questions the model answers</w:t>
      </w:r>
    </w:p>
    <w:p>
      <w:pPr>
        <w:pStyle w:val="ListBullet"/>
      </w:pPr>
      <w:r>
        <w:rPr>
          <w:b/>
        </w:rPr>
        <w:t xml:space="preserve">Individual risk: </w:t>
      </w:r>
      <w:r>
        <w:t>given a person’s plasma immune proteome today, what is their relative risk of developing disease X over follow-up?</w:t>
      </w:r>
    </w:p>
    <w:p>
      <w:pPr>
        <w:pStyle w:val="ListBullet"/>
      </w:pPr>
      <w:r>
        <w:rPr>
          <w:b/>
        </w:rPr>
        <w:t xml:space="preserve">Feature importance: </w:t>
      </w:r>
      <w:r>
        <w:t>which immune proteins carry the predictive signal for disease X in this cohort, and with what sign?</w:t>
      </w:r>
    </w:p>
    <w:p>
      <w:pPr>
        <w:pStyle w:val="ListBullet"/>
      </w:pPr>
      <w:r>
        <w:rPr>
          <w:b/>
        </w:rPr>
        <w:t xml:space="preserve">Causal–predictive concordance: </w:t>
      </w:r>
      <w:r>
        <w:t>do the proteins the predictive model relies on coincide with the proteins the causal atlas nominates — i.e. is prediction being driven by mechanism?</w:t>
      </w:r>
    </w:p>
    <w:p>
      <w:pPr>
        <w:pStyle w:val="ListBullet"/>
      </w:pPr>
      <w:r>
        <w:rPr>
          <w:b/>
        </w:rPr>
        <w:t xml:space="preserve">Incremental value: </w:t>
      </w:r>
      <w:r>
        <w:t>does an immune-protein score add discrimination over age/sex/clinical covariates for a given disease?</w:t>
      </w:r>
    </w:p>
    <w:p>
      <w:pPr>
        <w:pStyle w:val="ListBullet"/>
      </w:pPr>
      <w:r>
        <w:rPr>
          <w:b/>
        </w:rPr>
        <w:t xml:space="preserve">Transportability: </w:t>
      </w:r>
      <w:r>
        <w:t>because the same trainer runs on any cohort, does a score trained in one population transfer to another?</w:t>
      </w:r>
    </w:p>
    <w:p>
      <w:r>
        <w:rPr>
          <w:b w:val="0"/>
          <w:i w:val="0"/>
          <w:sz w:val="21"/>
        </w:rPr>
        <w:t>And at the atlas level, the causal engine answers: which immune proteins causally influence which diseases; in which direction (raising or lowering risk); whether the signal reflects a shared causal variant or LD; whether it holds at the protein as well as the transcript level; whether it replicates out of sample; which proteins act across multiple disease systems; and which of all these are novel, druggable and not already the target of an approved therapy.</w:t>
      </w:r>
    </w:p>
    <w:p>
      <w:pPr>
        <w:pStyle w:val="Heading2"/>
      </w:pPr>
      <w:r>
        <w:rPr>
          <w:color w:val="2E629E"/>
        </w:rPr>
        <w:t>I.3  How a research programme benefits</w:t>
      </w:r>
    </w:p>
    <w:p>
      <w:pPr>
        <w:pStyle w:val="ListBullet"/>
      </w:pPr>
      <w:r>
        <w:rPr>
          <w:b/>
        </w:rPr>
        <w:t xml:space="preserve">Target discovery: </w:t>
      </w:r>
      <w:r>
        <w:t>the causal atlas provides a pre-filtered, direction-annotated, druggability-scored shortlist of immune targets, each tagged with the evidence tier it has earned, so scarce experimental resources are spent on the most credible hypotheses.</w:t>
      </w:r>
    </w:p>
    <w:p>
      <w:pPr>
        <w:pStyle w:val="ListBullet"/>
      </w:pPr>
      <w:r>
        <w:rPr>
          <w:b/>
        </w:rPr>
        <w:t xml:space="preserve">Target validation: </w:t>
      </w:r>
      <w:r>
        <w:t>the direction map states, per target, whether to block or to agonise, and the eQTL–pQTL concordance flags whether a transcript signal survives at the protein level — the two facts most needed before committing to a modality.</w:t>
      </w:r>
    </w:p>
    <w:p>
      <w:pPr>
        <w:pStyle w:val="ListBullet"/>
      </w:pPr>
      <w:r>
        <w:rPr>
          <w:b/>
        </w:rPr>
        <w:t xml:space="preserve">Drug repurposing: </w:t>
      </w:r>
      <w:r>
        <w:t>recovering approved-drug axes with the correct direction is a genetic argument for repurposing and a check on the pipeline; the novelty engine then points beyond them.</w:t>
      </w:r>
    </w:p>
    <w:p>
      <w:pPr>
        <w:pStyle w:val="ListBullet"/>
      </w:pPr>
      <w:r>
        <w:rPr>
          <w:b/>
        </w:rPr>
        <w:t xml:space="preserve">Patient stratification: </w:t>
      </w:r>
      <w:r>
        <w:t>the PIRS can enrich trials for high-risk individuals, or identify a mechanistic subgroup, using a cheap plasma measurement.</w:t>
      </w:r>
    </w:p>
    <w:p>
      <w:pPr>
        <w:pStyle w:val="ListBullet"/>
      </w:pPr>
      <w:r>
        <w:rPr>
          <w:b/>
        </w:rPr>
        <w:t xml:space="preserve">Reproducible foundation: </w:t>
      </w:r>
      <w:r>
        <w:t>because everything is built from public data with released code, any group can reproduce, extend to new diseases, or re-train the PIRS on their own cohort — the resource is a platform, not a static paper.</w:t>
      </w:r>
    </w:p>
    <w:p>
      <w:r>
        <w:br w:type="page"/>
      </w:r>
    </w:p>
    <w:p>
      <w:pPr>
        <w:pStyle w:val="Heading1"/>
      </w:pPr>
      <w:r>
        <w:rPr>
          <w:color w:val="1F4E79"/>
        </w:rPr>
        <w:t>PART J · Evidence tiers, limitations, reproducibility</w:t>
      </w:r>
    </w:p>
    <w:p>
      <w:pPr>
        <w:pStyle w:val="Heading2"/>
      </w:pPr>
      <w:r>
        <w:rPr>
          <w:color w:val="2E629E"/>
        </w:rPr>
        <w:t>J.1  The evidence ladder</w:t>
      </w:r>
    </w:p>
    <w:p>
      <w:r>
        <w:rPr>
          <w:b w:val="0"/>
          <w:i w:val="0"/>
          <w:sz w:val="21"/>
        </w:rPr>
        <w:t>Every finding is bound to a tier, and language is bound to the tier. T2: nomination held for MHC/LD caution. T3: genetically-supported nomination (cis-MR FDR &lt; 0.05). T4: prioritised transcript-level causal target (adds transcript colocalization PP.H4 ≥ 0.8). T5: protein-level causal target (adds a concordant protein-level pQTL-MR and protein colocalization). In the final integrated table this yields 2 T5, 15 T4, 8 T3 and 7 T2 findings. No result is described more strongly than its tier permits.</w:t>
      </w:r>
    </w:p>
    <w:p>
      <w:pPr>
        <w:pStyle w:val="Heading2"/>
      </w:pPr>
      <w:r>
        <w:rPr>
          <w:color w:val="2E629E"/>
        </w:rPr>
        <w:t>J.2  Limitations</w:t>
      </w:r>
    </w:p>
    <w:p>
      <w:pPr>
        <w:pStyle w:val="ListBullet"/>
      </w:pPr>
      <w:r>
        <w:rPr>
          <w:b/>
        </w:rPr>
        <w:t xml:space="preserve">Population and tissue: </w:t>
      </w:r>
      <w:r>
        <w:t>effects are estimated in blood, largely of European ancestry, from Finnish discovery GWAS. Replication is out-of-sample but still mostly European; ancestry generalisation is future work.</w:t>
      </w:r>
    </w:p>
    <w:p>
      <w:pPr>
        <w:pStyle w:val="ListBullet"/>
      </w:pPr>
      <w:r>
        <w:rPr>
          <w:b/>
        </w:rPr>
        <w:t xml:space="preserve">Proteomic coverage: </w:t>
      </w:r>
      <w:r>
        <w:t>plasma protein validation rests on a single panel (INTERVAL/SomaScan); intracellular and MHC-region proteins have no plasma aptamer and cannot be validated this way.</w:t>
      </w:r>
    </w:p>
    <w:p>
      <w:pPr>
        <w:pStyle w:val="ListBullet"/>
      </w:pPr>
      <w:r>
        <w:rPr>
          <w:b/>
        </w:rPr>
        <w:t xml:space="preserve">Instrument scope: </w:t>
      </w:r>
      <w:r>
        <w:t>single strongest-cis instruments cannot fully exclude horizontal pleiotropy; colocalization, protein-level triangulation and replication mitigate but do not eliminate it.</w:t>
      </w:r>
    </w:p>
    <w:p>
      <w:pPr>
        <w:pStyle w:val="ListBullet"/>
      </w:pPr>
      <w:r>
        <w:rPr>
          <w:b/>
        </w:rPr>
        <w:t xml:space="preserve">No functional perturbation: </w:t>
      </w:r>
      <w:r>
        <w:t>no nomination has yet been perturbed experimentally; the atlas ends at genetically-triangulated hypotheses, not proof of mechanism.</w:t>
      </w:r>
    </w:p>
    <w:p>
      <w:pPr>
        <w:pStyle w:val="ListBullet"/>
      </w:pPr>
      <w:r>
        <w:rPr>
          <w:b/>
        </w:rPr>
        <w:t xml:space="preserve">Predictive layer is user-trained: </w:t>
      </w:r>
      <w:r>
        <w:t>the shipped resource is a causal atlas; the PIRS is a ready-to-run trainer, and its performance depends on the size, quality and event rate of the user’s own cohort.</w:t>
      </w:r>
    </w:p>
    <w:p>
      <w:pPr>
        <w:pStyle w:val="Heading2"/>
      </w:pPr>
      <w:r>
        <w:rPr>
          <w:color w:val="2E629E"/>
        </w:rPr>
        <w:t>J.3  Reproducibility and data availability</w:t>
      </w:r>
    </w:p>
    <w:p>
      <w:r>
        <w:rPr>
          <w:b w:val="0"/>
          <w:i w:val="0"/>
          <w:sz w:val="21"/>
        </w:rPr>
        <w:t>The pipeline is a set of numbered scripts run in order (proteome curation → instruments → cis-MR → colocalization → claim gate → protein-level pQTL → replication → supplementary figures → novelty → pan-phenome MR → pan-phenome analysis/coloc/novelty engine → figures → manuscript). Pre-computed result tables are released so figures and manuscripts regenerate without re-downloading multi-gigabyte summary statistics. All inputs are public (Olink Explore universe, Human Protein Atlas, MSigDB, eQTLGen, FinnGen R12, INTERVAL via the GWAS Catalog, OpenGWAS with a free token). Individual-level UK Biobank data and the UKB-PPP/deCODE gated pQTLs are controlled-access and were not used. Code is MIT; data tables and figures are CC-BY-4.0.</w:t>
      </w:r>
    </w:p>
    <w:p>
      <w:r>
        <w:br w:type="page"/>
      </w:r>
    </w:p>
    <w:p>
      <w:pPr>
        <w:pStyle w:val="Heading1"/>
      </w:pPr>
      <w:r>
        <w:rPr>
          <w:color w:val="1F4E79"/>
        </w:rPr>
        <w:t>PART K · Per-disease results: how the model predicts, and how it helps each disease</w:t>
      </w:r>
    </w:p>
    <w:p>
      <w:r>
        <w:rPr>
          <w:b w:val="0"/>
          <w:i w:val="0"/>
          <w:sz w:val="21"/>
        </w:rPr>
        <w:t>This part turns the atlas from a global statistic into a disease-by-disease account. For every disease with at least one FDR-significant causal immune protein, we list the causal proteins (with direction of effect and whether the signal colocalizes to a shared causal variant), explain how those proteins drive prediction in a Plasma Immune Risk Score trained for that disease, and state concretely how the finding helps that disease — as a biomarker, a therapeutic hypothesis, or both. Notation: UP = genetically higher protein raises risk (a blockade/neutralisation target); DOWN = higher protein is protective (an agonism/replacement target); [coloc] = shared-variant colocalization PP.H4 ≥ 0.8. Across the 28-disease phenome the immune instruments produce 176 causal gene–disease pairs; the leading proteins per disease are given below.</w:t>
      </w:r>
    </w:p>
    <w:p>
      <w:pPr>
        <w:pStyle w:val="Heading2"/>
      </w:pPr>
      <w:r>
        <w:rPr>
          <w:color w:val="2E629E"/>
        </w:rPr>
        <w:t>K.1  Autoimmune diseases</w:t>
      </w:r>
    </w:p>
    <w:p>
      <w:r>
        <w:rPr>
          <w:b w:val="0"/>
          <w:i w:val="0"/>
          <w:sz w:val="21"/>
        </w:rPr>
        <w:t>The autoimmune core is where the pipeline is best calibrated, because several hits are the targets of approved drugs and act as internal positive controls.</w:t>
      </w:r>
    </w:p>
    <w:p>
      <w:r>
        <w:rPr>
          <w:b/>
          <w:sz w:val="21"/>
        </w:rPr>
        <w:t xml:space="preserve">Rheumatoid arthritis  </w:t>
      </w:r>
      <w:r>
        <w:rPr>
          <w:i/>
          <w:color w:val="555555"/>
          <w:sz w:val="19"/>
        </w:rPr>
        <w:t>(10 causal immune proteins)</w:t>
      </w:r>
    </w:p>
    <w:p>
      <w:r>
        <w:rPr>
          <w:b/>
          <w:sz w:val="19"/>
        </w:rPr>
        <w:t xml:space="preserve">Causal immune proteins:  </w:t>
      </w:r>
      <w:r>
        <w:rPr>
          <w:sz w:val="19"/>
        </w:rPr>
        <w:t>IL6ST UP (OR 2.63) [coloc]; CTLA4 DOWN (OR 0.51) [coloc]; SWAP70 DOWN (OR 0.83) [coloc]; CA8 DOWN [coloc]; TNFRSF14 DOWN; C2 UP (MHC, held).</w:t>
      </w:r>
    </w:p>
    <w:p>
      <w:r>
        <w:rPr>
          <w:b/>
          <w:sz w:val="19"/>
        </w:rPr>
        <w:t xml:space="preserve">Prediction:  </w:t>
      </w:r>
      <w:r>
        <w:rPr>
          <w:sz w:val="19"/>
        </w:rPr>
        <w:t>A RA-PIRS is dominated by the IL-6 co-receptor axis (IL6ST) with positive weight and the checkpoint CTLA4 with protective weight; SWAP70 adds an independent, non-drug signal. Higher IL6ST and lower CTLA4 signalling both push predicted risk up.</w:t>
      </w:r>
    </w:p>
    <w:p>
      <w:pPr>
        <w:spacing w:after="180"/>
      </w:pPr>
      <w:r>
        <w:rPr>
          <w:b/>
          <w:sz w:val="19"/>
        </w:rPr>
        <w:t xml:space="preserve">How it helps:  </w:t>
      </w:r>
      <w:r>
        <w:rPr>
          <w:sz w:val="19"/>
        </w:rPr>
        <w:t>IL6ST recovers tocilizumab biology and CTLA4 recovers abatacept biology from genetics alone, validating the score; SWAP70 — the only novel RA target colocalizing at both transcript and protein and replicating out-of-sample — is a fresh, drug-naive hypothesis for RA.</w:t>
      </w:r>
    </w:p>
    <w:p>
      <w:r>
        <w:rPr>
          <w:b/>
          <w:sz w:val="21"/>
        </w:rPr>
        <w:t xml:space="preserve">Type-1 diabetes (autoimmune endocrine)  </w:t>
      </w:r>
      <w:r>
        <w:rPr>
          <w:i/>
          <w:color w:val="555555"/>
          <w:sz w:val="19"/>
        </w:rPr>
        <w:t>(9 causal immune proteins)</w:t>
      </w:r>
    </w:p>
    <w:p>
      <w:r>
        <w:rPr>
          <w:b/>
          <w:sz w:val="19"/>
        </w:rPr>
        <w:t xml:space="preserve">Causal immune proteins:  </w:t>
      </w:r>
      <w:r>
        <w:rPr>
          <w:sz w:val="19"/>
        </w:rPr>
        <w:t>IL2RA DOWN (OR 0.30) [coloc]; ERBB3 DOWN (OR 0.42) [coloc]; CTLA4 DOWN (OR 0.39) [coloc]; CTSH UP [coloc]; LIF UP; C2 UP (MHC).</w:t>
      </w:r>
    </w:p>
    <w:p>
      <w:r>
        <w:rPr>
          <w:b/>
          <w:sz w:val="19"/>
        </w:rPr>
        <w:t xml:space="preserve">Prediction:  </w:t>
      </w:r>
      <w:r>
        <w:rPr>
          <w:sz w:val="19"/>
        </w:rPr>
        <w:t>The score is driven by the IL-2 receptor-alpha (IL2RA/CD25) regulatory-T-cell axis and CTLA4, both protective, plus ERBB3; lower IL2RA/CTLA4 tone predicts higher risk.</w:t>
      </w:r>
    </w:p>
    <w:p>
      <w:pPr>
        <w:spacing w:after="180"/>
      </w:pPr>
      <w:r>
        <w:rPr>
          <w:b/>
          <w:sz w:val="19"/>
        </w:rPr>
        <w:t xml:space="preserve">How it helps:  </w:t>
      </w:r>
      <w:r>
        <w:rPr>
          <w:sz w:val="19"/>
        </w:rPr>
        <w:t>It reproduces the known IL2RA and CTLA4 autoimmune-diabetes loci (supporting low-dose IL-2 and checkpoint-modulating strategies) and nominates ERBB3 and CTSH as colocalized, testable T1D targets.</w:t>
      </w:r>
    </w:p>
    <w:p>
      <w:r>
        <w:rPr>
          <w:b/>
          <w:sz w:val="21"/>
        </w:rPr>
        <w:t xml:space="preserve">Coeliac disease  </w:t>
      </w:r>
      <w:r>
        <w:rPr>
          <w:i/>
          <w:color w:val="555555"/>
          <w:sz w:val="19"/>
        </w:rPr>
        <w:t>(6 causal immune proteins)</w:t>
      </w:r>
    </w:p>
    <w:p>
      <w:r>
        <w:rPr>
          <w:b/>
          <w:sz w:val="19"/>
        </w:rPr>
        <w:t xml:space="preserve">Causal immune proteins:  </w:t>
      </w:r>
      <w:r>
        <w:rPr>
          <w:sz w:val="19"/>
        </w:rPr>
        <w:t>HAVCR1/KIM-1 UP (OR 2.41) [coloc]; NUMB DOWN [coloc]; TGFA DOWN [coloc]; TNFSF8 DOWN; IL1RL1 DOWN; C2 UP (MHC).</w:t>
      </w:r>
    </w:p>
    <w:p>
      <w:r>
        <w:rPr>
          <w:b/>
          <w:sz w:val="19"/>
        </w:rPr>
        <w:t xml:space="preserve">Prediction:  </w:t>
      </w:r>
      <w:r>
        <w:rPr>
          <w:sz w:val="19"/>
        </w:rPr>
        <w:t>HAVCR1 carries strong positive weight; a coeliac-PIRS would flag individuals with high circulating KIM-1 as elevated-risk.</w:t>
      </w:r>
    </w:p>
    <w:p>
      <w:pPr>
        <w:spacing w:after="180"/>
      </w:pPr>
      <w:r>
        <w:rPr>
          <w:b/>
          <w:sz w:val="19"/>
        </w:rPr>
        <w:t xml:space="preserve">How it helps:  </w:t>
      </w:r>
      <w:r>
        <w:rPr>
          <w:sz w:val="19"/>
        </w:rPr>
        <w:t>HAVCR1/KIM-1 is a colocalized, drug-naive coeliac nomination and an accessible plasma biomarker; the protective TGFA and IL1RL1 (ST2) signals point to epithelial-repair and alarmin biology.</w:t>
      </w:r>
    </w:p>
    <w:p>
      <w:r>
        <w:rPr>
          <w:b/>
          <w:sz w:val="21"/>
        </w:rPr>
        <w:t xml:space="preserve">Psoriasis  </w:t>
      </w:r>
      <w:r>
        <w:rPr>
          <w:i/>
          <w:color w:val="555555"/>
          <w:sz w:val="19"/>
        </w:rPr>
        <w:t>(6 causal immune proteins)</w:t>
      </w:r>
    </w:p>
    <w:p>
      <w:r>
        <w:rPr>
          <w:b/>
          <w:sz w:val="19"/>
        </w:rPr>
        <w:t xml:space="preserve">Causal immune proteins:  </w:t>
      </w:r>
      <w:r>
        <w:rPr>
          <w:sz w:val="19"/>
        </w:rPr>
        <w:t>IL4 UP (OR 1.80); IFNGR2 DOWN (OR 0.88) [coloc]; IL6ST UP (OR 1.58) [coloc]; ERBB3 DOWN; SNX2 DOWN; C2 UP (MHC).</w:t>
      </w:r>
    </w:p>
    <w:p>
      <w:r>
        <w:rPr>
          <w:b/>
          <w:sz w:val="19"/>
        </w:rPr>
        <w:t xml:space="preserve">Prediction:  </w:t>
      </w:r>
      <w:r>
        <w:rPr>
          <w:sz w:val="19"/>
        </w:rPr>
        <w:t>IL4 and IL6ST push risk up; IFNGR2 (interferon-gamma receptor 2) is protective. The score blends a type-2 (IL4) and IL-6 signal.</w:t>
      </w:r>
    </w:p>
    <w:p>
      <w:pPr>
        <w:spacing w:after="180"/>
      </w:pPr>
      <w:r>
        <w:rPr>
          <w:b/>
          <w:sz w:val="19"/>
        </w:rPr>
        <w:t xml:space="preserve">How it helps:  </w:t>
      </w:r>
      <w:r>
        <w:rPr>
          <w:sz w:val="19"/>
        </w:rPr>
        <w:t>IL4 recovers dupilumab-relevant biology (direction-consistent), IL6ST supports IL-6-axis relevance, and IFNGR2 is a colocalized novel nomination — though its plasma-protein direction should be checked before it is read as a protein-level target.</w:t>
      </w:r>
    </w:p>
    <w:p>
      <w:r>
        <w:rPr>
          <w:b/>
          <w:sz w:val="21"/>
        </w:rPr>
        <w:t xml:space="preserve">Multiple sclerosis  </w:t>
      </w:r>
      <w:r>
        <w:rPr>
          <w:i/>
          <w:color w:val="555555"/>
          <w:sz w:val="19"/>
        </w:rPr>
        <w:t>(2 causal immune proteins)</w:t>
      </w:r>
    </w:p>
    <w:p>
      <w:r>
        <w:rPr>
          <w:b/>
          <w:sz w:val="19"/>
        </w:rPr>
        <w:t xml:space="preserve">Causal immune proteins:  </w:t>
      </w:r>
      <w:r>
        <w:rPr>
          <w:sz w:val="19"/>
        </w:rPr>
        <w:t>TNFSF14/LIGHT DOWN (OR 0.50) [coloc]; TNFRSF14/HVEM DOWN (OR 0.73).</w:t>
      </w:r>
    </w:p>
    <w:p>
      <w:r>
        <w:rPr>
          <w:b/>
          <w:sz w:val="19"/>
        </w:rPr>
        <w:t xml:space="preserve">Prediction:  </w:t>
      </w:r>
      <w:r>
        <w:rPr>
          <w:sz w:val="19"/>
        </w:rPr>
        <w:t>The MS-PIRS is anchored by the TNFSF14–TNFRSF14 (LIGHT–HVEM) co-stimulatory axis, both protective; lower LIGHT signalling predicts higher MS risk.</w:t>
      </w:r>
    </w:p>
    <w:p>
      <w:pPr>
        <w:spacing w:after="180"/>
      </w:pPr>
      <w:r>
        <w:rPr>
          <w:b/>
          <w:sz w:val="19"/>
        </w:rPr>
        <w:t xml:space="preserve">How it helps:  </w:t>
      </w:r>
      <w:r>
        <w:rPr>
          <w:sz w:val="19"/>
        </w:rPr>
        <w:t>TNFSF14→MS is one of only two protein-level causal targets in the whole atlas (transcript + protein coloc, replicated at P = 2×10⁻¹² in the independent IMSGC GWAS) — the strongest single therapeutic hypothesis the resource produces.</w:t>
      </w:r>
    </w:p>
    <w:p>
      <w:r>
        <w:rPr>
          <w:b/>
          <w:sz w:val="21"/>
        </w:rPr>
        <w:t xml:space="preserve">Ankylosing spondylitis  </w:t>
      </w:r>
      <w:r>
        <w:rPr>
          <w:i/>
          <w:color w:val="555555"/>
          <w:sz w:val="19"/>
        </w:rPr>
        <w:t>(5 causal immune proteins)</w:t>
      </w:r>
    </w:p>
    <w:p>
      <w:r>
        <w:rPr>
          <w:b/>
          <w:sz w:val="19"/>
        </w:rPr>
        <w:t xml:space="preserve">Causal immune proteins:  </w:t>
      </w:r>
      <w:r>
        <w:rPr>
          <w:sz w:val="19"/>
        </w:rPr>
        <w:t>TNFRSF1A UP (OR 1.46) [coloc]; EDN1 UP (OR 2.02); RAB44 DOWN; KIAA0319 DOWN; C2 UP (MHC).</w:t>
      </w:r>
    </w:p>
    <w:p>
      <w:r>
        <w:rPr>
          <w:b/>
          <w:sz w:val="19"/>
        </w:rPr>
        <w:t xml:space="preserve">Prediction:  </w:t>
      </w:r>
      <w:r>
        <w:rPr>
          <w:sz w:val="19"/>
        </w:rPr>
        <w:t>TNFRSF1A (TNF receptor 1) drives positive weight; higher TNF-receptor signalling predicts higher risk.</w:t>
      </w:r>
    </w:p>
    <w:p>
      <w:pPr>
        <w:spacing w:after="180"/>
      </w:pPr>
      <w:r>
        <w:rPr>
          <w:b/>
          <w:sz w:val="19"/>
        </w:rPr>
        <w:t xml:space="preserve">How it helps:  </w:t>
      </w:r>
      <w:r>
        <w:rPr>
          <w:sz w:val="19"/>
        </w:rPr>
        <w:t>TNFRSF1A recovers anti-TNF (etanercept) biology from genetics with the correct blockade direction, validating the AS score and reinforcing the TNF axis as the central AS target.</w:t>
      </w:r>
    </w:p>
    <w:p>
      <w:r>
        <w:rPr>
          <w:b/>
          <w:sz w:val="21"/>
        </w:rPr>
        <w:t xml:space="preserve">Sarcoidosis  </w:t>
      </w:r>
      <w:r>
        <w:rPr>
          <w:i/>
          <w:color w:val="555555"/>
          <w:sz w:val="19"/>
        </w:rPr>
        <w:t>(4 causal immune proteins)</w:t>
      </w:r>
    </w:p>
    <w:p>
      <w:r>
        <w:rPr>
          <w:b/>
          <w:sz w:val="19"/>
        </w:rPr>
        <w:t xml:space="preserve">Causal immune proteins:  </w:t>
      </w:r>
      <w:r>
        <w:rPr>
          <w:sz w:val="19"/>
        </w:rPr>
        <w:t>CD226/DNAM-1 DOWN (OR 0.81) [coloc]; LTBR UP; ANXA11 DOWN; PVALB DOWN.</w:t>
      </w:r>
    </w:p>
    <w:p>
      <w:r>
        <w:rPr>
          <w:b/>
          <w:sz w:val="19"/>
        </w:rPr>
        <w:t xml:space="preserve">Prediction:  </w:t>
      </w:r>
      <w:r>
        <w:rPr>
          <w:sz w:val="19"/>
        </w:rPr>
        <w:t>CD226 (a T/NK activating receptor) is protective; the score weights immune-cell activation biology.</w:t>
      </w:r>
    </w:p>
    <w:p>
      <w:pPr>
        <w:spacing w:after="180"/>
      </w:pPr>
      <w:r>
        <w:rPr>
          <w:b/>
          <w:sz w:val="19"/>
        </w:rPr>
        <w:t xml:space="preserve">How it helps:  </w:t>
      </w:r>
      <w:r>
        <w:rPr>
          <w:sz w:val="19"/>
        </w:rPr>
        <w:t>CD226 is a colocalized novel sarcoidosis nomination linking NK/T-cell adhesion to granuloma biology; LTBR points to lymphotoxin-beta-receptor signalling.</w:t>
      </w:r>
    </w:p>
    <w:p>
      <w:r>
        <w:rPr>
          <w:b/>
          <w:sz w:val="21"/>
        </w:rPr>
        <w:t xml:space="preserve">Sjögren syndrome  </w:t>
      </w:r>
      <w:r>
        <w:rPr>
          <w:i/>
          <w:color w:val="555555"/>
          <w:sz w:val="19"/>
        </w:rPr>
        <w:t>(2 causal immune proteins)</w:t>
      </w:r>
    </w:p>
    <w:p>
      <w:r>
        <w:rPr>
          <w:b/>
          <w:sz w:val="19"/>
        </w:rPr>
        <w:t xml:space="preserve">Causal immune proteins:  </w:t>
      </w:r>
      <w:r>
        <w:rPr>
          <w:sz w:val="19"/>
        </w:rPr>
        <w:t>PLAU/uPA UP (OR 1.66) [coloc]; C2 UP (MHC, held).</w:t>
      </w:r>
    </w:p>
    <w:p>
      <w:r>
        <w:rPr>
          <w:b/>
          <w:sz w:val="19"/>
        </w:rPr>
        <w:t xml:space="preserve">Prediction:  </w:t>
      </w:r>
      <w:r>
        <w:rPr>
          <w:sz w:val="19"/>
        </w:rPr>
        <w:t>PLAU (urokinase plasminogen activator) carries the predictive signal outside the MHC.</w:t>
      </w:r>
    </w:p>
    <w:p>
      <w:pPr>
        <w:spacing w:after="180"/>
      </w:pPr>
      <w:r>
        <w:rPr>
          <w:b/>
          <w:sz w:val="19"/>
        </w:rPr>
        <w:t xml:space="preserve">How it helps:  </w:t>
      </w:r>
      <w:r>
        <w:rPr>
          <w:sz w:val="19"/>
        </w:rPr>
        <w:t>PLAU is a colocalized novel Sjögren nomination implicating plasminogen-activation/tissue-remodelling biology; note Sjögren has no FinnGen-independent GWAS, so this remains a transcript-level nomination.</w:t>
      </w:r>
    </w:p>
    <w:p>
      <w:r>
        <w:rPr>
          <w:b/>
          <w:sz w:val="21"/>
        </w:rPr>
        <w:t xml:space="preserve">Guillain–Barré syndrome  </w:t>
      </w:r>
      <w:r>
        <w:rPr>
          <w:i/>
          <w:color w:val="555555"/>
          <w:sz w:val="19"/>
        </w:rPr>
        <w:t>(2 causal immune proteins)</w:t>
      </w:r>
    </w:p>
    <w:p>
      <w:r>
        <w:rPr>
          <w:b/>
          <w:sz w:val="19"/>
        </w:rPr>
        <w:t xml:space="preserve">Causal immune proteins:  </w:t>
      </w:r>
      <w:r>
        <w:rPr>
          <w:sz w:val="19"/>
        </w:rPr>
        <w:t>SIGLEC7 UP (OR 3.05) [coloc]; SIGLEC9 UP (OR 2.94) [coloc].</w:t>
      </w:r>
    </w:p>
    <w:p>
      <w:r>
        <w:rPr>
          <w:b/>
          <w:sz w:val="19"/>
        </w:rPr>
        <w:t xml:space="preserve">Prediction:  </w:t>
      </w:r>
      <w:r>
        <w:rPr>
          <w:sz w:val="19"/>
        </w:rPr>
        <w:t>Both sialic-acid-binding inhibitory receptors carry strong positive weight; a GBS-PIRS would be dominated by the SIGLEC7/9 pair.</w:t>
      </w:r>
    </w:p>
    <w:p>
      <w:pPr>
        <w:spacing w:after="180"/>
      </w:pPr>
      <w:r>
        <w:rPr>
          <w:b/>
          <w:sz w:val="19"/>
        </w:rPr>
        <w:t xml:space="preserve">How it helps:  </w:t>
      </w:r>
      <w:r>
        <w:rPr>
          <w:sz w:val="19"/>
        </w:rPr>
        <w:t>SIGLEC7/9→GBS is a striking, colocalized, entirely drug-naive nomination that connects glycan-recognition immune-inhibitory receptors to an acute demyelinating neuropathy — a novel axis worth functional follow-up (untestable in replication for lack of an independent GBS GWAS).</w:t>
      </w:r>
    </w:p>
    <w:p>
      <w:r>
        <w:rPr>
          <w:b/>
          <w:sz w:val="21"/>
        </w:rPr>
        <w:t xml:space="preserve">Crohn’s disease  </w:t>
      </w:r>
      <w:r>
        <w:rPr>
          <w:i/>
          <w:color w:val="555555"/>
          <w:sz w:val="19"/>
        </w:rPr>
        <w:t>(2 causal immune proteins)</w:t>
      </w:r>
    </w:p>
    <w:p>
      <w:r>
        <w:rPr>
          <w:b/>
          <w:sz w:val="19"/>
        </w:rPr>
        <w:t xml:space="preserve">Causal immune proteins:  </w:t>
      </w:r>
      <w:r>
        <w:rPr>
          <w:sz w:val="19"/>
        </w:rPr>
        <w:t>HNMT DOWN (OR 0.64) [coloc]; BCL7A DOWN (OR 0.57) [coloc].</w:t>
      </w:r>
    </w:p>
    <w:p>
      <w:r>
        <w:rPr>
          <w:b/>
          <w:sz w:val="19"/>
        </w:rPr>
        <w:t xml:space="preserve">Prediction:  </w:t>
      </w:r>
      <w:r>
        <w:rPr>
          <w:sz w:val="19"/>
        </w:rPr>
        <w:t>Histamine N-methyltransferase (HNMT) is protective; lower HNMT predicts higher risk.</w:t>
      </w:r>
    </w:p>
    <w:p>
      <w:pPr>
        <w:spacing w:after="180"/>
      </w:pPr>
      <w:r>
        <w:rPr>
          <w:b/>
          <w:sz w:val="19"/>
        </w:rPr>
        <w:t xml:space="preserve">How it helps:  </w:t>
      </w:r>
      <w:r>
        <w:rPr>
          <w:sz w:val="19"/>
        </w:rPr>
        <w:t>HNMT is a colocalized novel Crohn’s nomination implicating histamine catabolism in gut inflammation — a mechanistically fresh, testable hypothesis.</w:t>
      </w:r>
    </w:p>
    <w:p>
      <w:r>
        <w:rPr>
          <w:b/>
          <w:sz w:val="21"/>
        </w:rPr>
        <w:t xml:space="preserve">Autoimmune hyperthyroidism / Systemic lupus / Vitiligo  </w:t>
      </w:r>
      <w:r>
        <w:rPr>
          <w:i/>
          <w:color w:val="555555"/>
          <w:sz w:val="19"/>
        </w:rPr>
        <w:t>(3 causal immune proteins)</w:t>
      </w:r>
    </w:p>
    <w:p>
      <w:r>
        <w:rPr>
          <w:b/>
          <w:sz w:val="19"/>
        </w:rPr>
        <w:t xml:space="preserve">Causal immune proteins:  </w:t>
      </w:r>
      <w:r>
        <w:rPr>
          <w:sz w:val="19"/>
        </w:rPr>
        <w:t>CTLA4 DOWN [coloc] and IL12RB2 UP [coloc] (hyperthyroidism); C2 UP (lupus, MHC); (vitiligo signals MHC-dominated).</w:t>
      </w:r>
    </w:p>
    <w:p>
      <w:r>
        <w:rPr>
          <w:b/>
          <w:sz w:val="19"/>
        </w:rPr>
        <w:t xml:space="preserve">Prediction:  </w:t>
      </w:r>
      <w:r>
        <w:rPr>
          <w:sz w:val="19"/>
        </w:rPr>
        <w:t>CTLA4 anchors the thyroid-autoimmunity score; lupus is dominated by the held MHC C2 signal.</w:t>
      </w:r>
    </w:p>
    <w:p>
      <w:pPr>
        <w:spacing w:after="180"/>
      </w:pPr>
      <w:r>
        <w:rPr>
          <w:b/>
          <w:sz w:val="19"/>
        </w:rPr>
        <w:t xml:space="preserve">How it helps:  </w:t>
      </w:r>
      <w:r>
        <w:rPr>
          <w:sz w:val="19"/>
        </w:rPr>
        <w:t>CTLA4 again recovers checkpoint biology (validating), while the recurrent C2/MHC signal across five autoimmune diseases is explicitly flagged as LD-confounded and withheld from causal claims.</w:t>
      </w:r>
    </w:p>
    <w:p>
      <w:pPr>
        <w:pStyle w:val="Heading2"/>
      </w:pPr>
      <w:r>
        <w:rPr>
          <w:color w:val="2E629E"/>
        </w:rPr>
        <w:t>K.2  Cardiovascular diseases</w:t>
      </w:r>
    </w:p>
    <w:p>
      <w:r>
        <w:rPr>
          <w:b w:val="0"/>
          <w:i w:val="0"/>
          <w:sz w:val="21"/>
        </w:rPr>
        <w:t>The pan-phenome expansion reveals that immune proteins act causally well beyond autoimmunity, most densely in cardiovascular disease (67 hits).</w:t>
      </w:r>
    </w:p>
    <w:p>
      <w:r>
        <w:rPr>
          <w:b/>
          <w:sz w:val="21"/>
        </w:rPr>
        <w:t xml:space="preserve">Hypertension  </w:t>
      </w:r>
      <w:r>
        <w:rPr>
          <w:i/>
          <w:color w:val="555555"/>
          <w:sz w:val="19"/>
        </w:rPr>
        <w:t>(28 causal immune proteins)</w:t>
      </w:r>
    </w:p>
    <w:p>
      <w:r>
        <w:rPr>
          <w:b/>
          <w:sz w:val="19"/>
        </w:rPr>
        <w:t xml:space="preserve">Causal immune proteins:  </w:t>
      </w:r>
      <w:r>
        <w:rPr>
          <w:sz w:val="19"/>
        </w:rPr>
        <w:t>ACE UP (OR 1.61); FES DOWN [coloc]; IFNGR2 UP (OR 1.07) [coloc]; MERTK UP [coloc]; SWAP70 DOWN; SPINK8 DOWN.</w:t>
      </w:r>
    </w:p>
    <w:p>
      <w:r>
        <w:rPr>
          <w:b/>
          <w:sz w:val="19"/>
        </w:rPr>
        <w:t xml:space="preserve">Prediction:  </w:t>
      </w:r>
      <w:r>
        <w:rPr>
          <w:sz w:val="19"/>
        </w:rPr>
        <w:t>The largest causal set in the phenome: the hypertension-PIRS integrates ACE (positive), the granulocyte kinase FES (protective), and the interferon and efferocytosis receptors IFNGR2/MERTK.</w:t>
      </w:r>
    </w:p>
    <w:p>
      <w:pPr>
        <w:spacing w:after="180"/>
      </w:pPr>
      <w:r>
        <w:rPr>
          <w:b/>
          <w:sz w:val="19"/>
        </w:rPr>
        <w:t xml:space="preserve">How it helps:  </w:t>
      </w:r>
      <w:r>
        <w:rPr>
          <w:sz w:val="19"/>
        </w:rPr>
        <w:t>ACE recovers a validated antihypertensive target (ACE inhibitors), confirming the score; IFNGR2 and MERTK are colocalized novel immune–cardiovascular nominations connecting interferon and macrophage clearance biology to blood-pressure regulation.</w:t>
      </w:r>
    </w:p>
    <w:p>
      <w:r>
        <w:rPr>
          <w:b/>
          <w:sz w:val="21"/>
        </w:rPr>
        <w:t xml:space="preserve">Coronary heart disease  </w:t>
      </w:r>
      <w:r>
        <w:rPr>
          <w:i/>
          <w:color w:val="555555"/>
          <w:sz w:val="19"/>
        </w:rPr>
        <w:t>(15 causal immune proteins)</w:t>
      </w:r>
    </w:p>
    <w:p>
      <w:r>
        <w:rPr>
          <w:b/>
          <w:sz w:val="19"/>
        </w:rPr>
        <w:t xml:space="preserve">Causal immune proteins:  </w:t>
      </w:r>
      <w:r>
        <w:rPr>
          <w:sz w:val="19"/>
        </w:rPr>
        <w:t>PSRC1 DOWN (OR 0.85) [coloc]; PLAUR UP (OR 1.59) [coloc]; SCARB1 DOWN [coloc]; LPL DOWN; FES DOWN.</w:t>
      </w:r>
    </w:p>
    <w:p>
      <w:r>
        <w:rPr>
          <w:b/>
          <w:sz w:val="19"/>
        </w:rPr>
        <w:t xml:space="preserve">Prediction:  </w:t>
      </w:r>
      <w:r>
        <w:rPr>
          <w:sz w:val="19"/>
        </w:rPr>
        <w:t>A CHD-PIRS weights the PSRC1/SORT1-region lipid axis and the urokinase receptor PLAUR; PLAUR raises predicted risk, PSRC1 and the HDL receptor SCARB1 lower it.</w:t>
      </w:r>
    </w:p>
    <w:p>
      <w:pPr>
        <w:spacing w:after="180"/>
      </w:pPr>
      <w:r>
        <w:rPr>
          <w:b/>
          <w:sz w:val="19"/>
        </w:rPr>
        <w:t xml:space="preserve">How it helps:  </w:t>
      </w:r>
      <w:r>
        <w:rPr>
          <w:sz w:val="19"/>
        </w:rPr>
        <w:t>PSRC1 and SCARB1 recover known lipid/CHD biology (calibrating the score), while PLAUR is a colocalized novel inflammatory-thrombosis CHD nomination — a druggable receptor linking innate immunity to atherothrombosis.</w:t>
      </w:r>
    </w:p>
    <w:p>
      <w:r>
        <w:rPr>
          <w:b/>
          <w:sz w:val="21"/>
        </w:rPr>
        <w:t xml:space="preserve">Atrial fibrillation  </w:t>
      </w:r>
      <w:r>
        <w:rPr>
          <w:i/>
          <w:color w:val="555555"/>
          <w:sz w:val="19"/>
        </w:rPr>
        <w:t>(12 causal immune proteins)</w:t>
      </w:r>
    </w:p>
    <w:p>
      <w:r>
        <w:rPr>
          <w:b/>
          <w:sz w:val="19"/>
        </w:rPr>
        <w:t xml:space="preserve">Causal immune proteins:  </w:t>
      </w:r>
      <w:r>
        <w:rPr>
          <w:sz w:val="19"/>
        </w:rPr>
        <w:t>ACE UP (OR 1.72) [coloc]; FES DOWN [coloc]; PFKFB2 DOWN [coloc]; CDKN1A UP; ADAM15 DOWN.</w:t>
      </w:r>
    </w:p>
    <w:p>
      <w:r>
        <w:rPr>
          <w:b/>
          <w:sz w:val="19"/>
        </w:rPr>
        <w:t xml:space="preserve">Prediction:  </w:t>
      </w:r>
      <w:r>
        <w:rPr>
          <w:sz w:val="19"/>
        </w:rPr>
        <w:t>ACE and the cell-cycle inhibitor CDKN1A drive positive weight; FES and the glycolytic PFKFB2 are protective.</w:t>
      </w:r>
    </w:p>
    <w:p>
      <w:pPr>
        <w:spacing w:after="180"/>
      </w:pPr>
      <w:r>
        <w:rPr>
          <w:b/>
          <w:sz w:val="19"/>
        </w:rPr>
        <w:t xml:space="preserve">How it helps:  </w:t>
      </w:r>
      <w:r>
        <w:rPr>
          <w:sz w:val="19"/>
        </w:rPr>
        <w:t>ACE colocalizes with AF as well as hypertension, suggesting a shared renin–angiotensin axis; PFKFB2 and CDKN1A are novel colocalized nominations linking metabolic/senescence biology to arrhythmia.</w:t>
      </w:r>
    </w:p>
    <w:p>
      <w:r>
        <w:rPr>
          <w:b/>
          <w:sz w:val="21"/>
        </w:rPr>
        <w:t xml:space="preserve">Venous thromboembolism  </w:t>
      </w:r>
      <w:r>
        <w:rPr>
          <w:i/>
          <w:color w:val="555555"/>
          <w:sz w:val="19"/>
        </w:rPr>
        <w:t>(8 causal immune proteins)</w:t>
      </w:r>
    </w:p>
    <w:p>
      <w:r>
        <w:rPr>
          <w:b/>
          <w:sz w:val="19"/>
        </w:rPr>
        <w:t xml:space="preserve">Causal immune proteins:  </w:t>
      </w:r>
      <w:r>
        <w:rPr>
          <w:sz w:val="19"/>
        </w:rPr>
        <w:t>PROCR DOWN (OR 0.55); PDLIM7 DOWN [coloc]; SCPEP1 UP [coloc]; TSPAN15 DOWN; TGFB2 UP.</w:t>
      </w:r>
    </w:p>
    <w:p>
      <w:r>
        <w:rPr>
          <w:b/>
          <w:sz w:val="19"/>
        </w:rPr>
        <w:t xml:space="preserve">Prediction:  </w:t>
      </w:r>
      <w:r>
        <w:rPr>
          <w:sz w:val="19"/>
        </w:rPr>
        <w:t>The VTE-PIRS is anchored by the endothelial protein-C receptor PROCR (strongly protective); lower PROCR predicts higher clot risk.</w:t>
      </w:r>
    </w:p>
    <w:p>
      <w:pPr>
        <w:spacing w:after="180"/>
      </w:pPr>
      <w:r>
        <w:rPr>
          <w:b/>
          <w:sz w:val="19"/>
        </w:rPr>
        <w:t xml:space="preserve">How it helps:  </w:t>
      </w:r>
      <w:r>
        <w:rPr>
          <w:sz w:val="19"/>
        </w:rPr>
        <w:t>PROCR recovers established coagulation biology (protein-C pathway), validating the score; PDLIM7 and SCPEP1 are colocalized novel VTE nominations.</w:t>
      </w:r>
    </w:p>
    <w:p>
      <w:r>
        <w:rPr>
          <w:b/>
          <w:sz w:val="21"/>
        </w:rPr>
        <w:t xml:space="preserve">Heart failure  </w:t>
      </w:r>
      <w:r>
        <w:rPr>
          <w:i/>
          <w:color w:val="555555"/>
          <w:sz w:val="19"/>
        </w:rPr>
        <w:t>(4 causal immune proteins)</w:t>
      </w:r>
    </w:p>
    <w:p>
      <w:r>
        <w:rPr>
          <w:b/>
          <w:sz w:val="19"/>
        </w:rPr>
        <w:t xml:space="preserve">Causal immune proteins:  </w:t>
      </w:r>
      <w:r>
        <w:rPr>
          <w:sz w:val="19"/>
        </w:rPr>
        <w:t>CDKN1A UP (OR 1.48); PFKFB2 DOWN; RAB44 DOWN; GSTM4 UP.</w:t>
      </w:r>
    </w:p>
    <w:p>
      <w:r>
        <w:rPr>
          <w:b/>
          <w:sz w:val="19"/>
        </w:rPr>
        <w:t xml:space="preserve">Prediction:  </w:t>
      </w:r>
      <w:r>
        <w:rPr>
          <w:sz w:val="19"/>
        </w:rPr>
        <w:t>The senescence marker CDKN1A/p21 drives positive weight; higher CDKN1A predicts higher heart-failure risk.</w:t>
      </w:r>
    </w:p>
    <w:p>
      <w:pPr>
        <w:spacing w:after="180"/>
      </w:pPr>
      <w:r>
        <w:rPr>
          <w:b/>
          <w:sz w:val="19"/>
        </w:rPr>
        <w:t xml:space="preserve">How it helps:  </w:t>
      </w:r>
      <w:r>
        <w:rPr>
          <w:sz w:val="19"/>
        </w:rPr>
        <w:t>CDKN1A links cellular senescence to heart failure — a novel, aging-relevant immune–cardiac hypothesis that dovetails with the neuro/aging category.</w:t>
      </w:r>
    </w:p>
    <w:p>
      <w:pPr>
        <w:pStyle w:val="Heading2"/>
      </w:pPr>
      <w:r>
        <w:rPr>
          <w:color w:val="2E629E"/>
        </w:rPr>
        <w:t>K.3  Metabolic diseases</w:t>
      </w:r>
    </w:p>
    <w:p>
      <w:r>
        <w:rPr>
          <w:b/>
          <w:sz w:val="21"/>
        </w:rPr>
        <w:t xml:space="preserve">Type-2 diabetes  </w:t>
      </w:r>
      <w:r>
        <w:rPr>
          <w:i/>
          <w:color w:val="555555"/>
          <w:sz w:val="19"/>
        </w:rPr>
        <w:t>(19 causal immune proteins)</w:t>
      </w:r>
    </w:p>
    <w:p>
      <w:r>
        <w:rPr>
          <w:b/>
          <w:sz w:val="19"/>
        </w:rPr>
        <w:t xml:space="preserve">Causal immune proteins:  </w:t>
      </w:r>
      <w:r>
        <w:rPr>
          <w:sz w:val="19"/>
        </w:rPr>
        <w:t>SPINK8 DOWN (OR 0.83) [coloc]; ARG1 DOWN; ANPEP UP; SPRY2 UP; NOMO1 UP.</w:t>
      </w:r>
    </w:p>
    <w:p>
      <w:r>
        <w:rPr>
          <w:b/>
          <w:sz w:val="19"/>
        </w:rPr>
        <w:t xml:space="preserve">Prediction:  </w:t>
      </w:r>
      <w:r>
        <w:rPr>
          <w:sz w:val="19"/>
        </w:rPr>
        <w:t>A T2D-PIRS integrates the protease-inhibitor SPINK8 (protective) with aminopeptidase and sprouty-signalling proteins; the immune feature set adds inflammatory context to metabolic risk.</w:t>
      </w:r>
    </w:p>
    <w:p>
      <w:pPr>
        <w:spacing w:after="180"/>
      </w:pPr>
      <w:r>
        <w:rPr>
          <w:b/>
          <w:sz w:val="19"/>
        </w:rPr>
        <w:t xml:space="preserve">How it helps:  </w:t>
      </w:r>
      <w:r>
        <w:rPr>
          <w:sz w:val="19"/>
        </w:rPr>
        <w:t>SPINK8 is a colocalized novel T2D nomination and, because it also acts on hypertension, a candidate shared cardiometabolic control point.</w:t>
      </w:r>
    </w:p>
    <w:p>
      <w:r>
        <w:rPr>
          <w:b/>
          <w:sz w:val="21"/>
        </w:rPr>
        <w:t xml:space="preserve">Obesity  </w:t>
      </w:r>
      <w:r>
        <w:rPr>
          <w:i/>
          <w:color w:val="555555"/>
          <w:sz w:val="19"/>
        </w:rPr>
        <w:t>(7 causal immune proteins)</w:t>
      </w:r>
    </w:p>
    <w:p>
      <w:r>
        <w:rPr>
          <w:b/>
          <w:sz w:val="19"/>
        </w:rPr>
        <w:t xml:space="preserve">Causal immune proteins:  </w:t>
      </w:r>
      <w:r>
        <w:rPr>
          <w:sz w:val="19"/>
        </w:rPr>
        <w:t>F12 UP (OR 1.48) [coloc]; LTBP3 UP [coloc]; SERPING1 UP; GDF15 DOWN; MAPRE3 DOWN.</w:t>
      </w:r>
    </w:p>
    <w:p>
      <w:r>
        <w:rPr>
          <w:b/>
          <w:sz w:val="19"/>
        </w:rPr>
        <w:t xml:space="preserve">Prediction:  </w:t>
      </w:r>
      <w:r>
        <w:rPr>
          <w:sz w:val="19"/>
        </w:rPr>
        <w:t>Coagulation factor XII (F12) and the TGF-beta binding protein LTBP3 drive positive weight; GDF15 is protective.</w:t>
      </w:r>
    </w:p>
    <w:p>
      <w:pPr>
        <w:spacing w:after="180"/>
      </w:pPr>
      <w:r>
        <w:rPr>
          <w:b/>
          <w:sz w:val="19"/>
        </w:rPr>
        <w:t xml:space="preserve">How it helps:  </w:t>
      </w:r>
      <w:r>
        <w:rPr>
          <w:sz w:val="19"/>
        </w:rPr>
        <w:t>F12 and LTBP3 are colocalized novel obesity nominations linking contact-activation and TGF-beta biology to adiposity; GDF15 recovers a known appetite/energy-balance axis.</w:t>
      </w:r>
    </w:p>
    <w:p>
      <w:r>
        <w:rPr>
          <w:b/>
          <w:sz w:val="21"/>
        </w:rPr>
        <w:t xml:space="preserve">Type-1 diabetes (metabolic view)  </w:t>
      </w:r>
      <w:r>
        <w:rPr>
          <w:i/>
          <w:color w:val="555555"/>
          <w:sz w:val="19"/>
        </w:rPr>
        <w:t>(9 causal immune proteins)</w:t>
      </w:r>
    </w:p>
    <w:p>
      <w:r>
        <w:rPr>
          <w:b/>
          <w:sz w:val="19"/>
        </w:rPr>
        <w:t xml:space="preserve">Causal immune proteins:  </w:t>
      </w:r>
      <w:r>
        <w:rPr>
          <w:sz w:val="19"/>
        </w:rPr>
        <w:t>(see Autoimmune) IL2RA/CTLA4/ERBB3 DOWN [coloc]; CTSH UP [coloc].</w:t>
      </w:r>
    </w:p>
    <w:p>
      <w:r>
        <w:rPr>
          <w:b/>
          <w:sz w:val="19"/>
        </w:rPr>
        <w:t xml:space="preserve">Prediction:  </w:t>
      </w:r>
      <w:r>
        <w:rPr>
          <w:sz w:val="19"/>
        </w:rPr>
        <w:t>Same regulatory-T-cell and ERBB3 axes as above, here scored against the metabolic-category label.</w:t>
      </w:r>
    </w:p>
    <w:p>
      <w:pPr>
        <w:spacing w:after="180"/>
      </w:pPr>
      <w:r>
        <w:rPr>
          <w:b/>
          <w:sz w:val="19"/>
        </w:rPr>
        <w:t xml:space="preserve">How it helps:  </w:t>
      </w:r>
      <w:r>
        <w:rPr>
          <w:sz w:val="19"/>
        </w:rPr>
        <w:t>Reinforces that T1D risk is immune-driven and that IL2RA/CTLA4 are the most credible modulatable axes.</w:t>
      </w:r>
    </w:p>
    <w:p>
      <w:pPr>
        <w:pStyle w:val="Heading2"/>
      </w:pPr>
      <w:r>
        <w:rPr>
          <w:color w:val="2E629E"/>
        </w:rPr>
        <w:t>K.4  Neurodegenerative and aging diseases</w:t>
      </w:r>
    </w:p>
    <w:p>
      <w:r>
        <w:rPr>
          <w:b/>
          <w:sz w:val="21"/>
        </w:rPr>
        <w:t xml:space="preserve">Dementia (all-cause)  </w:t>
      </w:r>
      <w:r>
        <w:rPr>
          <w:i/>
          <w:color w:val="555555"/>
          <w:sz w:val="19"/>
        </w:rPr>
        <w:t>(14 causal immune proteins)</w:t>
      </w:r>
    </w:p>
    <w:p>
      <w:r>
        <w:rPr>
          <w:b/>
          <w:sz w:val="19"/>
        </w:rPr>
        <w:t xml:space="preserve">Causal immune proteins:  </w:t>
      </w:r>
      <w:r>
        <w:rPr>
          <w:sz w:val="19"/>
        </w:rPr>
        <w:t>ACE DOWN (OR 0.44) [coloc]; RAPGEF2 UP [coloc]; LYPD3 DOWN; PVR DOWN; RELB DOWN; TEX101 UP.</w:t>
      </w:r>
    </w:p>
    <w:p>
      <w:r>
        <w:rPr>
          <w:b/>
          <w:sz w:val="19"/>
        </w:rPr>
        <w:t xml:space="preserve">Prediction:  </w:t>
      </w:r>
      <w:r>
        <w:rPr>
          <w:sz w:val="19"/>
        </w:rPr>
        <w:t>A dementia-PIRS is anchored by ACE (here protective, opposite to its hypertension direction), with PVR (the poliovirus receptor/CD155) and LYPD3 contributing.</w:t>
      </w:r>
    </w:p>
    <w:p>
      <w:pPr>
        <w:spacing w:after="180"/>
      </w:pPr>
      <w:r>
        <w:rPr>
          <w:b/>
          <w:sz w:val="19"/>
        </w:rPr>
        <w:t xml:space="preserve">How it helps:  </w:t>
      </w:r>
      <w:r>
        <w:rPr>
          <w:sz w:val="19"/>
        </w:rPr>
        <w:t>ACE colocalizes with dementia AND Alzheimer’s at PP.H4 &gt; 0.97 — a top novel-priority target linking the renin–angiotensin system to neurodegeneration, with a direction opposite to its cardiovascular effect (a caution for any systemic ACE-modulating strategy).</w:t>
      </w:r>
    </w:p>
    <w:p>
      <w:r>
        <w:rPr>
          <w:b/>
          <w:sz w:val="21"/>
        </w:rPr>
        <w:t xml:space="preserve">Alzheimer’s disease  </w:t>
      </w:r>
      <w:r>
        <w:rPr>
          <w:i/>
          <w:color w:val="555555"/>
          <w:sz w:val="19"/>
        </w:rPr>
        <w:t>(9 causal immune proteins)</w:t>
      </w:r>
    </w:p>
    <w:p>
      <w:r>
        <w:rPr>
          <w:b/>
          <w:sz w:val="19"/>
        </w:rPr>
        <w:t xml:space="preserve">Causal immune proteins:  </w:t>
      </w:r>
      <w:r>
        <w:rPr>
          <w:sz w:val="19"/>
        </w:rPr>
        <w:t>LYPD3 DOWN (OR 0.24); ACE DOWN (OR 0.43) [coloc]; RAPGEF2 UP [coloc]; PVR DOWN; TEX101 UP; CRIM1 UP.</w:t>
      </w:r>
    </w:p>
    <w:p>
      <w:r>
        <w:rPr>
          <w:b/>
          <w:sz w:val="19"/>
        </w:rPr>
        <w:t xml:space="preserve">Prediction:  </w:t>
      </w:r>
      <w:r>
        <w:rPr>
          <w:sz w:val="19"/>
        </w:rPr>
        <w:t>LYPD3 carries the strongest single effect; ACE and RAPGEF2 colocalize. The AD-PIRS is largely shared with the dementia score.</w:t>
      </w:r>
    </w:p>
    <w:p>
      <w:pPr>
        <w:spacing w:after="180"/>
      </w:pPr>
      <w:r>
        <w:rPr>
          <w:b/>
          <w:sz w:val="19"/>
        </w:rPr>
        <w:t xml:space="preserve">How it helps:  </w:t>
      </w:r>
      <w:r>
        <w:rPr>
          <w:sz w:val="19"/>
        </w:rPr>
        <w:t>The shared ACE and LYPD3/PVR signals nominate immune-adjacent neurodegeneration axes; PVR/CD155 connects an immune checkpoint ligand to AD, a novel and druggable direction.</w:t>
      </w:r>
    </w:p>
    <w:p>
      <w:r>
        <w:rPr>
          <w:b/>
          <w:sz w:val="21"/>
        </w:rPr>
        <w:t xml:space="preserve">Glaucoma  </w:t>
      </w:r>
      <w:r>
        <w:rPr>
          <w:i/>
          <w:color w:val="555555"/>
          <w:sz w:val="19"/>
        </w:rPr>
        <w:t>(5 causal immune proteins)</w:t>
      </w:r>
    </w:p>
    <w:p>
      <w:r>
        <w:rPr>
          <w:b/>
          <w:sz w:val="19"/>
        </w:rPr>
        <w:t xml:space="preserve">Causal immune proteins:  </w:t>
      </w:r>
      <w:r>
        <w:rPr>
          <w:sz w:val="19"/>
        </w:rPr>
        <w:t>LTBP2 DOWN (OR 0.67); SPON2 UP; CRISP3 UP; ANXA11 UP; TNFSF13 DOWN.</w:t>
      </w:r>
    </w:p>
    <w:p>
      <w:r>
        <w:rPr>
          <w:b/>
          <w:sz w:val="19"/>
        </w:rPr>
        <w:t xml:space="preserve">Prediction:  </w:t>
      </w:r>
      <w:r>
        <w:rPr>
          <w:sz w:val="19"/>
        </w:rPr>
        <w:t>The extracellular-matrix protein LTBP2 (protective) anchors the glaucoma score.</w:t>
      </w:r>
    </w:p>
    <w:p>
      <w:pPr>
        <w:spacing w:after="180"/>
      </w:pPr>
      <w:r>
        <w:rPr>
          <w:b/>
          <w:sz w:val="19"/>
        </w:rPr>
        <w:t xml:space="preserve">How it helps:  </w:t>
      </w:r>
      <w:r>
        <w:rPr>
          <w:sz w:val="19"/>
        </w:rPr>
        <w:t>LTBP2 recovers known ocular extracellular-matrix biology; TNFSF13 (APRIL) adds a testable immune nomination.</w:t>
      </w:r>
    </w:p>
    <w:p>
      <w:r>
        <w:rPr>
          <w:b/>
          <w:sz w:val="21"/>
        </w:rPr>
        <w:t xml:space="preserve">Epilepsy / Osteoporosis  </w:t>
      </w:r>
      <w:r>
        <w:rPr>
          <w:i/>
          <w:color w:val="555555"/>
          <w:sz w:val="19"/>
        </w:rPr>
        <w:t>(3 causal immune proteins)</w:t>
      </w:r>
    </w:p>
    <w:p>
      <w:r>
        <w:rPr>
          <w:b/>
          <w:sz w:val="19"/>
        </w:rPr>
        <w:t xml:space="preserve">Causal immune proteins:  </w:t>
      </w:r>
      <w:r>
        <w:rPr>
          <w:sz w:val="19"/>
        </w:rPr>
        <w:t>PM20D1 DOWN (OR 0.87) [coloc] (epilepsy); SEZ6 DOWN, DPEP2 DOWN (osteoporosis).</w:t>
      </w:r>
    </w:p>
    <w:p>
      <w:r>
        <w:rPr>
          <w:b/>
          <w:sz w:val="19"/>
        </w:rPr>
        <w:t xml:space="preserve">Prediction:  </w:t>
      </w:r>
      <w:r>
        <w:rPr>
          <w:sz w:val="19"/>
        </w:rPr>
        <w:t>PM20D1 anchors the epilepsy signal and, spanning three disease categories, is a highly pleiotropic control point.</w:t>
      </w:r>
    </w:p>
    <w:p>
      <w:pPr>
        <w:spacing w:after="180"/>
      </w:pPr>
      <w:r>
        <w:rPr>
          <w:b/>
          <w:sz w:val="19"/>
        </w:rPr>
        <w:t xml:space="preserve">How it helps:  </w:t>
      </w:r>
      <w:r>
        <w:rPr>
          <w:sz w:val="19"/>
        </w:rPr>
        <w:t>PM20D1 is a colocalized novel nomination acting across epilepsy, obesity and type-1 diabetes — a genuinely multi-system immune-metabolic axis surfaced by the pan-phenome view.</w:t>
      </w:r>
    </w:p>
    <w:p>
      <w:pPr>
        <w:pStyle w:val="Heading2"/>
      </w:pPr>
      <w:r>
        <w:rPr>
          <w:color w:val="2E629E"/>
        </w:rPr>
        <w:t>K.5  Renal disease</w:t>
      </w:r>
    </w:p>
    <w:p>
      <w:r>
        <w:rPr>
          <w:b/>
          <w:sz w:val="21"/>
        </w:rPr>
        <w:t xml:space="preserve">Chronic kidney disease  </w:t>
      </w:r>
      <w:r>
        <w:rPr>
          <w:i/>
          <w:color w:val="555555"/>
          <w:sz w:val="19"/>
        </w:rPr>
        <w:t>(1 causal immune protein)</w:t>
      </w:r>
    </w:p>
    <w:p>
      <w:r>
        <w:rPr>
          <w:b/>
          <w:sz w:val="19"/>
        </w:rPr>
        <w:t xml:space="preserve">Causal immune proteins:  </w:t>
      </w:r>
      <w:r>
        <w:rPr>
          <w:sz w:val="19"/>
        </w:rPr>
        <w:t>AAMDC DOWN (OR 0.88).</w:t>
      </w:r>
    </w:p>
    <w:p>
      <w:r>
        <w:rPr>
          <w:b/>
          <w:sz w:val="19"/>
        </w:rPr>
        <w:t xml:space="preserve">Prediction:  </w:t>
      </w:r>
      <w:r>
        <w:rPr>
          <w:sz w:val="19"/>
        </w:rPr>
        <w:t>A CKD immune signal is sparse; AAMDC provides the single causal nomination.</w:t>
      </w:r>
    </w:p>
    <w:p>
      <w:pPr>
        <w:spacing w:after="180"/>
      </w:pPr>
      <w:r>
        <w:rPr>
          <w:b/>
          <w:sz w:val="19"/>
        </w:rPr>
        <w:t xml:space="preserve">How it helps:  </w:t>
      </w:r>
      <w:r>
        <w:rPr>
          <w:sz w:val="19"/>
        </w:rPr>
        <w:t>AAMDC (which also appears in venous thromboembolism) is a preliminary CKD nomination; the sparse renal signal is reported honestly rather than inflated.</w:t>
      </w:r>
    </w:p>
    <w:p>
      <w:r>
        <w:br w:type="page"/>
      </w:r>
    </w:p>
    <w:p>
      <w:pPr>
        <w:pStyle w:val="Heading1"/>
      </w:pPr>
      <w:r>
        <w:rPr>
          <w:color w:val="1F4E79"/>
        </w:rPr>
        <w:t>PART L · Extended novelty: dossiers, therapeutic modality and mechanistic hypotheses</w:t>
      </w:r>
    </w:p>
    <w:p>
      <w:r>
        <w:rPr>
          <w:b w:val="0"/>
          <w:i w:val="0"/>
          <w:sz w:val="21"/>
        </w:rPr>
        <w:t>This part consolidates what is genuinely new in the resource. Novelty here does not mean an unprecedented statistic; it means a target, direction or axis that (i) is supported by convergent genetic evidence, (ii) is not already the object of an approved drug for that indication, and (iii) carries an actionable, direction-specified therapeutic implication. The novelty-priority engine (Part G.3) formalises this by adding causal, colocalization, pleiotropy, druggability and cell-source evidence and subtracting known-drug and MHC penalties, leaving 45 novel colocalized targets. Below we expand the leading nominations into dossiers, map them to therapeutic modality, and articulate the cross-system hypotheses that only a pan-phenome causal atlas can generate.</w:t>
      </w:r>
    </w:p>
    <w:p>
      <w:pPr>
        <w:pStyle w:val="Heading2"/>
      </w:pPr>
      <w:r>
        <w:rPr>
          <w:color w:val="2E629E"/>
        </w:rPr>
        <w:t>L.1  Novel-target dossiers</w:t>
      </w:r>
    </w:p>
    <w:p>
      <w:r>
        <w:rPr>
          <w:b w:val="0"/>
          <w:i w:val="0"/>
          <w:sz w:val="21"/>
        </w:rPr>
        <w:t>Each dossier states the target, indication, direction (and therefore modality), the convergent evidence, the cell source, and the single most important caveat.</w:t>
      </w:r>
    </w:p>
    <w:p>
      <w:r>
        <w:rPr>
          <w:b/>
          <w:color w:val="1F4E79"/>
          <w:sz w:val="20"/>
        </w:rPr>
        <w:t>SWAP70 — rheumatoid arthritis (agonise; higher protein protective)</w:t>
      </w:r>
    </w:p>
    <w:p>
      <w:pPr>
        <w:spacing w:after="160"/>
      </w:pPr>
      <w:r>
        <w:rPr>
          <w:sz w:val="19"/>
        </w:rPr>
        <w:t>The single strongest novel nomination: the only new target colocalizing at BOTH transcript and protein level (PP.H4 &gt; 0.97) AND replicating in the independent Okada GWAS. SWAP70 is a B-cell/actin-regulatory protein; the genetics argue that raising or mimicking its function is protective in RA. Caveat: mechanism of the protective direction needs functional confirmation.</w:t>
      </w:r>
    </w:p>
    <w:p>
      <w:r>
        <w:rPr>
          <w:b/>
          <w:color w:val="1F4E79"/>
          <w:sz w:val="20"/>
        </w:rPr>
        <w:t>SIGLEC7 &amp; SIGLEC9 — Guillain–Barré syndrome (block; higher protein raises risk)</w:t>
      </w:r>
    </w:p>
    <w:p>
      <w:pPr>
        <w:spacing w:after="160"/>
      </w:pPr>
      <w:r>
        <w:rPr>
          <w:sz w:val="19"/>
        </w:rPr>
        <w:t>A paired, colocalized nomination (OR ~3) implicating sialic-acid-binding inhibitory receptors in acute demyelinating neuropathy — a glycoimmunology axis with no approved GBS drug. Druggable as cell-surface receptors. Caveat: no independent GBS GWAS exists, so this stays transcript-level.</w:t>
      </w:r>
    </w:p>
    <w:p>
      <w:r>
        <w:rPr>
          <w:b/>
          <w:color w:val="1F4E79"/>
          <w:sz w:val="20"/>
        </w:rPr>
        <w:t>ACE — dementia / Alzheimer’s disease (context-dependent)</w:t>
      </w:r>
    </w:p>
    <w:p>
      <w:pPr>
        <w:spacing w:after="160"/>
      </w:pPr>
      <w:r>
        <w:rPr>
          <w:sz w:val="19"/>
        </w:rPr>
        <w:t>ACE colocalizes with both dementia and Alzheimer’s (PP.H4 &gt; 0.97) with a PROTECTIVE direction, opposite to its risk-raising effect in hypertension/atrial fibrillation. This directional split is itself the novelty and the caution: a systemic ACE inhibitor beneficial for blood pressure could be directionally unfavourable for neurodegeneration. A prime example of why direction, not just identity, matters.</w:t>
      </w:r>
    </w:p>
    <w:p>
      <w:r>
        <w:rPr>
          <w:b/>
          <w:color w:val="1F4E79"/>
          <w:sz w:val="20"/>
        </w:rPr>
        <w:t>IFNGR2 — hypertension &amp; psoriasis (cross-category)</w:t>
      </w:r>
    </w:p>
    <w:p>
      <w:pPr>
        <w:spacing w:after="160"/>
      </w:pPr>
      <w:r>
        <w:rPr>
          <w:sz w:val="19"/>
        </w:rPr>
        <w:t>Colocalized in both a cardiovascular and an autoimmune disease, with opposite directions (risk-raising in hypertension, protective in psoriasis), marking the interferon-gamma receptor as a pleiotropic immune–cardiovascular control point. Caveat: plasma-protein direction should be confirmed before modality is fixed.</w:t>
      </w:r>
    </w:p>
    <w:p>
      <w:r>
        <w:rPr>
          <w:b/>
          <w:color w:val="1F4E79"/>
          <w:sz w:val="20"/>
        </w:rPr>
        <w:t>PLAUR — coronary heart disease (block; higher protein raises risk)</w:t>
      </w:r>
    </w:p>
    <w:p>
      <w:pPr>
        <w:spacing w:after="160"/>
      </w:pPr>
      <w:r>
        <w:rPr>
          <w:sz w:val="19"/>
        </w:rPr>
        <w:t>The urokinase receptor colocalizes with CHD (OR 1.59), a druggable cell-surface receptor linking innate-immune proteolysis to atherothrombosis — a novel, drug-naive CHD target.</w:t>
      </w:r>
    </w:p>
    <w:p>
      <w:r>
        <w:rPr>
          <w:b/>
          <w:color w:val="1F4E79"/>
          <w:sz w:val="20"/>
        </w:rPr>
        <w:t>ERBB3 — type-1 diabetes (agonise; higher protein protective)</w:t>
      </w:r>
    </w:p>
    <w:p>
      <w:pPr>
        <w:spacing w:after="160"/>
      </w:pPr>
      <w:r>
        <w:rPr>
          <w:sz w:val="19"/>
        </w:rPr>
        <w:t>Colocalized T1D nomination (PP.H4 0.90) independent of the classical checkpoint loci, implicating receptor-tyrosine-kinase biology in beta-cell autoimmunity.</w:t>
      </w:r>
    </w:p>
    <w:p>
      <w:r>
        <w:rPr>
          <w:b/>
          <w:color w:val="1F4E79"/>
          <w:sz w:val="20"/>
        </w:rPr>
        <w:t>SPINK8 &amp; PM20D1 — shared cardiometabolic / multi-system control points</w:t>
      </w:r>
    </w:p>
    <w:p>
      <w:pPr>
        <w:spacing w:after="160"/>
      </w:pPr>
      <w:r>
        <w:rPr>
          <w:sz w:val="19"/>
        </w:rPr>
        <w:t>SPINK8 colocalizes with type-2 diabetes and acts on hypertension; PM20D1 acts across epilepsy, obesity and type-1 diabetes (three categories). Both are novel, druggability-flagged, and exemplify targets that a single-disease study could never have prioritised.</w:t>
      </w:r>
    </w:p>
    <w:p>
      <w:r>
        <w:rPr>
          <w:b/>
          <w:color w:val="1F4E79"/>
          <w:sz w:val="20"/>
        </w:rPr>
        <w:t>HAVCR1 / KIM-1 — coeliac disease (block; higher protein raises risk)</w:t>
      </w:r>
    </w:p>
    <w:p>
      <w:pPr>
        <w:spacing w:after="160"/>
      </w:pPr>
      <w:r>
        <w:rPr>
          <w:sz w:val="19"/>
        </w:rPr>
        <w:t>A colocalized coeliac nomination that is also an accessible plasma biomarker (KIM-1), giving a rare target that is simultaneously a candidate drug target and a monitoring assay.</w:t>
      </w:r>
    </w:p>
    <w:p>
      <w:pPr>
        <w:pStyle w:val="Heading2"/>
      </w:pPr>
      <w:r>
        <w:rPr>
          <w:color w:val="2E629E"/>
        </w:rPr>
        <w:t>L.2  Direction-aware therapeutic modality map</w:t>
      </w:r>
    </w:p>
    <w:p>
      <w:r>
        <w:rPr>
          <w:b w:val="0"/>
          <w:i w:val="0"/>
          <w:sz w:val="21"/>
        </w:rPr>
        <w:t>Because every causal estimate carries a sign, each target maps to a modality without further assumption. This is a central novelty of the resource: it does not merely list targets, it prescribes whether to raise or lower each one.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t>Direction (genetics)</w:t>
            </w:r>
          </w:p>
        </w:tc>
        <w:tc>
          <w:tcPr>
            <w:tcW w:type="dxa" w:w="2160"/>
          </w:tcPr>
          <w:p>
            <w:r>
              <w:rPr>
                <w:b/>
                <w:sz w:val="17"/>
              </w:rPr>
              <w:t>Interpretation</w:t>
            </w:r>
          </w:p>
        </w:tc>
        <w:tc>
          <w:tcPr>
            <w:tcW w:type="dxa" w:w="2160"/>
          </w:tcPr>
          <w:p>
            <w:r>
              <w:rPr>
                <w:b/>
                <w:sz w:val="17"/>
              </w:rPr>
              <w:t>Therapeutic modality</w:t>
            </w:r>
          </w:p>
        </w:tc>
        <w:tc>
          <w:tcPr>
            <w:tcW w:type="dxa" w:w="2160"/>
          </w:tcPr>
          <w:p>
            <w:r>
              <w:rPr>
                <w:b/>
                <w:sz w:val="17"/>
              </w:rPr>
              <w:t>Example novel targets</w:t>
            </w:r>
          </w:p>
        </w:tc>
      </w:tr>
      <w:tr>
        <w:tc>
          <w:tcPr>
            <w:tcW w:type="dxa" w:w="2160"/>
          </w:tcPr>
          <w:p>
            <w:r>
              <w:rPr>
                <w:sz w:val="17"/>
              </w:rPr>
              <w:t>OR &gt; 1 (protein raises risk)</w:t>
            </w:r>
          </w:p>
        </w:tc>
        <w:tc>
          <w:tcPr>
            <w:tcW w:type="dxa" w:w="2160"/>
          </w:tcPr>
          <w:p>
            <w:r>
              <w:rPr>
                <w:sz w:val="17"/>
              </w:rPr>
              <w:t>protein is causal &amp; harmful</w:t>
            </w:r>
          </w:p>
        </w:tc>
        <w:tc>
          <w:tcPr>
            <w:tcW w:type="dxa" w:w="2160"/>
          </w:tcPr>
          <w:p>
            <w:r>
              <w:rPr>
                <w:sz w:val="17"/>
              </w:rPr>
              <w:t>block / neutralise / antagonise (antibody, small molecule)</w:t>
            </w:r>
          </w:p>
        </w:tc>
        <w:tc>
          <w:tcPr>
            <w:tcW w:type="dxa" w:w="2160"/>
          </w:tcPr>
          <w:p>
            <w:r>
              <w:rPr>
                <w:sz w:val="17"/>
              </w:rPr>
              <w:t>PLAUR (CHD), HAVCR1 (coeliac), SIGLEC7/9 (GBS), IFNGR2 (hypertension)</w:t>
            </w:r>
          </w:p>
        </w:tc>
      </w:tr>
      <w:tr>
        <w:tc>
          <w:tcPr>
            <w:tcW w:type="dxa" w:w="2160"/>
          </w:tcPr>
          <w:p>
            <w:r>
              <w:rPr>
                <w:sz w:val="17"/>
              </w:rPr>
              <w:t>OR &lt; 1 (protein is protective)</w:t>
            </w:r>
          </w:p>
        </w:tc>
        <w:tc>
          <w:tcPr>
            <w:tcW w:type="dxa" w:w="2160"/>
          </w:tcPr>
          <w:p>
            <w:r>
              <w:rPr>
                <w:sz w:val="17"/>
              </w:rPr>
              <w:t>protein is causal &amp; beneficial</w:t>
            </w:r>
          </w:p>
        </w:tc>
        <w:tc>
          <w:tcPr>
            <w:tcW w:type="dxa" w:w="2160"/>
          </w:tcPr>
          <w:p>
            <w:r>
              <w:rPr>
                <w:sz w:val="17"/>
              </w:rPr>
              <w:t>agonise / replace / stabilise (recombinant, agonist)</w:t>
            </w:r>
          </w:p>
        </w:tc>
        <w:tc>
          <w:tcPr>
            <w:tcW w:type="dxa" w:w="2160"/>
          </w:tcPr>
          <w:p>
            <w:r>
              <w:rPr>
                <w:sz w:val="17"/>
              </w:rPr>
              <w:t>SWAP70 (RA), ERBB3 (T1D), PROCR (VTE), SPINK8 (T2D)</w:t>
            </w:r>
          </w:p>
        </w:tc>
      </w:tr>
      <w:tr>
        <w:tc>
          <w:tcPr>
            <w:tcW w:type="dxa" w:w="2160"/>
          </w:tcPr>
          <w:p>
            <w:r>
              <w:rPr>
                <w:sz w:val="17"/>
              </w:rPr>
              <w:t>opposite across diseases</w:t>
            </w:r>
          </w:p>
        </w:tc>
        <w:tc>
          <w:tcPr>
            <w:tcW w:type="dxa" w:w="2160"/>
          </w:tcPr>
          <w:p>
            <w:r>
              <w:rPr>
                <w:sz w:val="17"/>
              </w:rPr>
              <w:t>pleiotropic, context-dependent</w:t>
            </w:r>
          </w:p>
        </w:tc>
        <w:tc>
          <w:tcPr>
            <w:tcW w:type="dxa" w:w="2160"/>
          </w:tcPr>
          <w:p>
            <w:r>
              <w:rPr>
                <w:sz w:val="17"/>
              </w:rPr>
              <w:t>indication-specific; systemic modulation risky</w:t>
            </w:r>
          </w:p>
        </w:tc>
        <w:tc>
          <w:tcPr>
            <w:tcW w:type="dxa" w:w="2160"/>
          </w:tcPr>
          <w:p>
            <w:r>
              <w:rPr>
                <w:sz w:val="17"/>
              </w:rPr>
              <w:t>ACE (CV vs dementia), IFNGR2 (hypertension vs psoriasis)</w:t>
            </w:r>
          </w:p>
        </w:tc>
      </w:tr>
    </w:tbl>
    <w:p>
      <w:r>
        <w:rPr>
          <w:b w:val="0"/>
          <w:i w:val="0"/>
          <w:sz w:val="21"/>
        </w:rPr>
        <w:t>The druggability score refines this: secreted proteins favour recombinant/agonist or neutralising-antibody strategies, single-pass membrane receptors favour antagonist antibodies, and FDA-target-class flags mark targets with established tractability. Combining direction with druggability yields a per-target modality recommendation rather than a bare hit list.</w:t>
      </w:r>
    </w:p>
    <w:p>
      <w:pPr>
        <w:pStyle w:val="Heading2"/>
      </w:pPr>
      <w:r>
        <w:rPr>
          <w:color w:val="2E629E"/>
        </w:rPr>
        <w:t>L.3  Cross-system immune-axis hypotheses</w:t>
      </w:r>
    </w:p>
    <w:p>
      <w:r>
        <w:rPr>
          <w:b w:val="0"/>
          <w:i w:val="0"/>
          <w:sz w:val="21"/>
        </w:rPr>
        <w:t>The pan-phenome design surfaces hypotheses invisible to any single-disease analysis — immune proteins that act as control points across organ systems:</w:t>
      </w:r>
    </w:p>
    <w:p>
      <w:pPr>
        <w:pStyle w:val="ListBullet"/>
      </w:pPr>
      <w:r>
        <w:rPr>
          <w:b/>
        </w:rPr>
        <w:t xml:space="preserve">IFNGR2 (interferon ↔ vascular): </w:t>
      </w:r>
      <w:r>
        <w:t>the interferon-gamma receptor links autoimmune (psoriasis) and cardiovascular (hypertension) disease with opposite signs, suggesting interferon tone is a shared, context-dependent axis.</w:t>
      </w:r>
    </w:p>
    <w:p>
      <w:pPr>
        <w:pStyle w:val="ListBullet"/>
      </w:pPr>
      <w:r>
        <w:rPr>
          <w:b/>
        </w:rPr>
        <w:t xml:space="preserve">ACE (vascular ↔ brain): </w:t>
      </w:r>
      <w:r>
        <w:t>the renin–angiotensin enzyme is causally protective in neurodegeneration yet risk-raising in hypertension and atrial fibrillation — a systemic trade-off with direct implications for lifelong ACE-inhibitor use.</w:t>
      </w:r>
    </w:p>
    <w:p>
      <w:pPr>
        <w:pStyle w:val="ListBullet"/>
      </w:pPr>
      <w:r>
        <w:rPr>
          <w:b/>
        </w:rPr>
        <w:t xml:space="preserve">MERTK &amp; MPO (immune clearance ↔ cardiometabolic): </w:t>
      </w:r>
      <w:r>
        <w:t>the Mer/efferocytosis receptor and myeloperoxidase connect macrophage-clearance and oxidative biology across cardiovascular and metabolic disease.</w:t>
      </w:r>
    </w:p>
    <w:p>
      <w:pPr>
        <w:pStyle w:val="ListBullet"/>
      </w:pPr>
      <w:r>
        <w:rPr>
          <w:b/>
        </w:rPr>
        <w:t xml:space="preserve">PM20D1 (three categories): </w:t>
      </w:r>
      <w:r>
        <w:t>a single metabolic-immune protein acting across epilepsy, obesity and type-1 diabetes — the most pleiotropic control point in the atlas.</w:t>
      </w:r>
    </w:p>
    <w:p>
      <w:pPr>
        <w:pStyle w:val="ListBullet"/>
      </w:pPr>
      <w:r>
        <w:rPr>
          <w:b/>
        </w:rPr>
        <w:t xml:space="preserve">SWAP70 (autoimmune ↔ vascular): </w:t>
      </w:r>
      <w:r>
        <w:t>a B-cell/actin regulator protective in both rheumatoid arthritis and hypertension, colocalized in RA — a shared autoimmune–vascular node.</w:t>
      </w:r>
    </w:p>
    <w:p>
      <w:pPr>
        <w:pStyle w:val="Heading2"/>
      </w:pPr>
      <w:r>
        <w:rPr>
          <w:color w:val="2E629E"/>
        </w:rPr>
        <w:t>L.4  What is novel relative to prior work</w:t>
      </w:r>
    </w:p>
    <w:p>
      <w:r>
        <w:rPr>
          <w:b w:val="0"/>
          <w:i w:val="0"/>
          <w:sz w:val="21"/>
        </w:rPr>
        <w:t>Prior plasma-proteomic disease studies are typically (i) association-based rather than causal, (ii) confined to a single disease or disease family, (iii) reliant on gated individual-level cohorts, and (iv) silent on therapeutic direction. This resource is novel on all four axes simultaneously: it is genetically causal (MR + colocalization + protein-level validation + independent replication), it spans 28 diseases in five categories, it is built entirely from public data and is fully reproducible, and it assigns every target an explicit therapeutic direction and a druggability-aware modality. The integrated novelty-priority engine then does something no prior plasma-immune study does: it ranks targets by cumulative orthogonal evidence while actively penalising the approved-drug and MHC axes, so the output is a prioritised list of genuinely new, direction-specified, druggable immune targets rather than a re-statement of known biology.</w:t>
      </w:r>
    </w:p>
    <w:p>
      <w:r>
        <w:br w:type="page"/>
      </w:r>
    </w:p>
    <w:p>
      <w:pPr>
        <w:pStyle w:val="Heading1"/>
      </w:pPr>
      <w:r>
        <w:rPr>
          <w:color w:val="1F4E79"/>
        </w:rPr>
        <w:t>Appendix 1 · A worked interpretation, end to end</w:t>
      </w:r>
    </w:p>
    <w:p>
      <w:r>
        <w:rPr>
          <w:b w:val="0"/>
          <w:i w:val="0"/>
          <w:sz w:val="21"/>
        </w:rPr>
        <w:t>To make the pipeline concrete, follow one target — SWAP70 in rheumatoid arthritis — through every layer, exactly as the resource does.</w:t>
      </w:r>
    </w:p>
    <w:p>
      <w:pPr>
        <w:pStyle w:val="ListNumber"/>
      </w:pPr>
      <w:r>
        <w:rPr>
          <w:b/>
        </w:rPr>
        <w:t xml:space="preserve">Curation. </w:t>
      </w:r>
      <w:r>
        <w:t>SWAP70 passes the plasma-immunome inclusion score (a B-cell-lineage immune protein) and enters the 1,007-protein panel.</w:t>
      </w:r>
    </w:p>
    <w:p>
      <w:pPr>
        <w:pStyle w:val="ListNumber"/>
      </w:pPr>
      <w:r>
        <w:rPr>
          <w:b/>
        </w:rPr>
        <w:t xml:space="preserve">Instrument. </w:t>
      </w:r>
      <w:r>
        <w:t>its strongest blood cis-eQTL in eQTLGen is selected; the Z-score is converted to a standardised beta and standard error by the Zhu transformation.</w:t>
      </w:r>
    </w:p>
    <w:p>
      <w:pPr>
        <w:pStyle w:val="ListNumber"/>
      </w:pPr>
      <w:r>
        <w:rPr>
          <w:b/>
        </w:rPr>
        <w:t xml:space="preserve">cis-MR. </w:t>
      </w:r>
      <w:r>
        <w:t>harmonised against the FinnGen rheumatoid-arthritis GWAS, the Wald ratio gives OR ≈ 0.83 — genetically higher SWAP70 is protective — surviving 5% FDR.</w:t>
      </w:r>
    </w:p>
    <w:p>
      <w:pPr>
        <w:pStyle w:val="ListNumber"/>
      </w:pPr>
      <w:r>
        <w:rPr>
          <w:b/>
        </w:rPr>
        <w:t xml:space="preserve">Colocalization. </w:t>
      </w:r>
      <w:r>
        <w:t>coloc.abf returns PP.H4 &gt; 0.96, rejecting the two-distinct-variant hypothesis: the protein and disease signals share one causal variant. SWAP70 is promoted to a transcript-level causal target (tier 4).</w:t>
      </w:r>
    </w:p>
    <w:p>
      <w:pPr>
        <w:pStyle w:val="ListNumber"/>
      </w:pPr>
      <w:r>
        <w:rPr>
          <w:b/>
        </w:rPr>
        <w:t xml:space="preserve">Protein validation. </w:t>
      </w:r>
      <w:r>
        <w:t>an INTERVAL plasma cis-pQTL for SWAP70 gives a directionally concordant protein-level MR and protein colocalization PP.H4 &gt; 0.97, promoting SWAP70 to a protein-level causal target (tier 5).</w:t>
      </w:r>
    </w:p>
    <w:p>
      <w:pPr>
        <w:pStyle w:val="ListNumber"/>
      </w:pPr>
      <w:r>
        <w:rPr>
          <w:b/>
        </w:rPr>
        <w:t xml:space="preserve">Replication. </w:t>
      </w:r>
      <w:r>
        <w:t>the instrument variant is directionally concordant in the independent Okada rheumatoid-arthritis GWAS, so the nomination is not a Finnish artefact.</w:t>
      </w:r>
    </w:p>
    <w:p>
      <w:pPr>
        <w:pStyle w:val="ListNumber"/>
      </w:pPr>
      <w:r>
        <w:rPr>
          <w:b/>
        </w:rPr>
        <w:t xml:space="preserve">Novelty engine. </w:t>
      </w:r>
      <w:r>
        <w:t>SWAP70 carries no approved-drug penalty and no MHC penalty, colocalizes, and is druggability-flagged, so the engine ranks it as the leading NOVEL rheumatoid-arthritis target; its protective direction specifies an agonism/replacement modality.</w:t>
      </w:r>
    </w:p>
    <w:p>
      <w:pPr>
        <w:pStyle w:val="ListNumber"/>
      </w:pPr>
      <w:r>
        <w:rPr>
          <w:b/>
        </w:rPr>
        <w:t xml:space="preserve">Prediction. </w:t>
      </w:r>
      <w:r>
        <w:t>in a rheumatoid-arthritis PIRS, SWAP70 contributes a protective (negative-risk) weight; lower plasma SWAP70 raises predicted risk, and the weight is interpretable because the same protein is a tier-5 causal target.</w:t>
      </w:r>
    </w:p>
    <w:p>
      <w:r>
        <w:rPr>
          <w:b w:val="0"/>
          <w:i w:val="0"/>
          <w:sz w:val="21"/>
        </w:rPr>
        <w:t>The same eight steps, applied across 812 genes and 28 diseases, generate the entire atlas; the evidence tier a target reaches is simply how far along this chain its data carry it.</w:t>
      </w:r>
    </w:p>
    <w:p>
      <w:r>
        <w:br w:type="page"/>
      </w:r>
    </w:p>
    <w:p>
      <w:pPr>
        <w:pStyle w:val="Heading1"/>
      </w:pPr>
      <w:r>
        <w:rPr>
          <w:color w:val="1F4E79"/>
        </w:rPr>
        <w:t>Appendix 2 · Statistical formulae summary</w:t>
      </w:r>
    </w:p>
    <w:p>
      <w:r>
        <w:rPr>
          <w:b w:val="0"/>
          <w:i w:val="0"/>
          <w:sz w:val="21"/>
        </w:rPr>
        <w:t>Effect-size reconstruction from an eQTL Z-score (Zhu et al., 2016), with effect-allele frequency p and sample size n:</w:t>
      </w:r>
    </w:p>
    <w:p>
      <w:pPr>
        <w:jc w:val="center"/>
      </w:pPr>
      <w:r>
        <w:rPr>
          <w:rFonts w:ascii="Consolas" w:hAnsi="Consolas"/>
          <w:color w:val="222222"/>
          <w:sz w:val="20"/>
        </w:rPr>
        <w:t>denom = 2 p (1−p) (n + Z²);   beta = Z / √denom;   se = 1 / √denom</w:t>
      </w:r>
    </w:p>
    <w:p>
      <w:r>
        <w:rPr>
          <w:b w:val="0"/>
          <w:i w:val="0"/>
          <w:sz w:val="21"/>
        </w:rPr>
        <w:t>Single-instrument causal effect (Wald ratio) and its standard error:</w:t>
      </w:r>
    </w:p>
    <w:p>
      <w:pPr>
        <w:jc w:val="center"/>
      </w:pPr>
      <w:r>
        <w:rPr>
          <w:rFonts w:ascii="Consolas" w:hAnsi="Consolas"/>
          <w:color w:val="222222"/>
          <w:sz w:val="20"/>
        </w:rPr>
        <w:t>beta_MR = beta_out / beta_exp;   se_MR = se_out / |beta_exp|;   OR = exp(beta_MR)</w:t>
      </w:r>
    </w:p>
    <w:p>
      <w:r>
        <w:rPr>
          <w:b w:val="0"/>
          <w:i w:val="0"/>
          <w:sz w:val="21"/>
        </w:rPr>
        <w:t>Benjamini–Hochberg FDR: order p-values p(1)≤…≤p(m); reject where p(i) ≤ (i/m)·q, q = 0.05.</w:t>
      </w:r>
    </w:p>
    <w:p>
      <w:r>
        <w:rPr>
          <w:b w:val="0"/>
          <w:i w:val="0"/>
          <w:sz w:val="21"/>
        </w:rPr>
        <w:t>Per-SNP Wakefield approximate Bayes factor (log space), variance V = se², prior variance W:</w:t>
      </w:r>
    </w:p>
    <w:p>
      <w:pPr>
        <w:jc w:val="center"/>
      </w:pPr>
      <w:r>
        <w:rPr>
          <w:rFonts w:ascii="Consolas" w:hAnsi="Consolas"/>
          <w:color w:val="222222"/>
          <w:sz w:val="20"/>
        </w:rPr>
        <w:t>r = W / (W+V);   lABF = 0.5 ( log(1−r) + r Z² )</w:t>
      </w:r>
    </w:p>
    <w:p>
      <w:r>
        <w:rPr>
          <w:b w:val="0"/>
          <w:i w:val="0"/>
          <w:sz w:val="21"/>
        </w:rPr>
        <w:t>Colocalization posteriors combine per-hypothesis summed Bayes factors with priors p1, p2, p12; PP.H4 is the posterior of one shared causal variant. Promotion threshold PP.H4 ≥ 0.8.</w:t>
      </w:r>
    </w:p>
    <w:p>
      <w:r>
        <w:rPr>
          <w:b w:val="0"/>
          <w:i w:val="0"/>
          <w:sz w:val="21"/>
        </w:rPr>
        <w:t>Novelty-priority score (per gene–disease pair):</w:t>
      </w:r>
    </w:p>
    <w:p>
      <w:pPr>
        <w:jc w:val="center"/>
      </w:pPr>
      <w:r>
        <w:rPr>
          <w:rFonts w:ascii="Consolas" w:hAnsi="Consolas"/>
          <w:color w:val="222222"/>
          <w:sz w:val="20"/>
        </w:rPr>
        <w:t>NP = min(−log10FDR/5, 2) + PP.H4 + 0.5(n_cat−1) + s_drug + 0.5 − 1.5·known − 2.0·MHC</w:t>
      </w:r>
    </w:p>
    <w:p>
      <w:r>
        <w:rPr>
          <w:b w:val="0"/>
          <w:i w:val="0"/>
          <w:sz w:val="21"/>
        </w:rPr>
        <w:t>Elastic-net Cox objective (partial-likelihood loss L with mixing α = l1_ratio, penalty λ):</w:t>
      </w:r>
    </w:p>
    <w:p>
      <w:pPr>
        <w:jc w:val="center"/>
      </w:pPr>
      <w:r>
        <w:rPr>
          <w:rFonts w:ascii="Consolas" w:hAnsi="Consolas"/>
          <w:color w:val="222222"/>
          <w:sz w:val="20"/>
        </w:rPr>
        <w:t>min −L(β) + λ [ α ‖β‖1 + ½(1−α) ‖β‖²₂ ]</w:t>
      </w:r>
    </w:p>
    <w:p>
      <w:r>
        <w:rPr>
          <w:b w:val="0"/>
          <w:i w:val="0"/>
          <w:sz w:val="21"/>
        </w:rPr>
        <w:t>Discrimination: Harrell’s C-index (survival) or AUROC (fixed-horizon logistic), estimated by stratified k-fold cross-validation with fold-internal preprocessing.</w:t>
      </w:r>
    </w:p>
    <w:p>
      <w:r>
        <w:br w:type="page"/>
      </w:r>
    </w:p>
    <w:p>
      <w:pPr>
        <w:pStyle w:val="Heading1"/>
      </w:pPr>
      <w:r>
        <w:rPr>
          <w:color w:val="1F4E79"/>
        </w:rPr>
        <w:t>Appendix 3 ·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sz w:val="17"/>
              </w:rPr>
              <w:t>Term</w:t>
            </w:r>
          </w:p>
        </w:tc>
        <w:tc>
          <w:tcPr>
            <w:tcW w:type="dxa" w:w="4320"/>
          </w:tcPr>
          <w:p>
            <w:r>
              <w:rPr>
                <w:b/>
                <w:sz w:val="17"/>
              </w:rPr>
              <w:t>Definition</w:t>
            </w:r>
          </w:p>
        </w:tc>
      </w:tr>
      <w:tr>
        <w:tc>
          <w:tcPr>
            <w:tcW w:type="dxa" w:w="4320"/>
          </w:tcPr>
          <w:p>
            <w:r>
              <w:rPr>
                <w:sz w:val="17"/>
              </w:rPr>
              <w:t>NPX</w:t>
            </w:r>
          </w:p>
        </w:tc>
        <w:tc>
          <w:tcPr>
            <w:tcW w:type="dxa" w:w="4320"/>
          </w:tcPr>
          <w:p>
            <w:r>
              <w:rPr>
                <w:sz w:val="17"/>
              </w:rPr>
              <w:t>Normalised Protein eXpression — Olink’s relative log2 protein-abundance unit.</w:t>
            </w:r>
          </w:p>
        </w:tc>
      </w:tr>
      <w:tr>
        <w:tc>
          <w:tcPr>
            <w:tcW w:type="dxa" w:w="4320"/>
          </w:tcPr>
          <w:p>
            <w:r>
              <w:rPr>
                <w:sz w:val="17"/>
              </w:rPr>
              <w:t>cis-eQTL</w:t>
            </w:r>
          </w:p>
        </w:tc>
        <w:tc>
          <w:tcPr>
            <w:tcW w:type="dxa" w:w="4320"/>
          </w:tcPr>
          <w:p>
            <w:r>
              <w:rPr>
                <w:sz w:val="17"/>
              </w:rPr>
              <w:t>a variant near a gene that is associated with that gene’s expression.</w:t>
            </w:r>
          </w:p>
        </w:tc>
      </w:tr>
      <w:tr>
        <w:tc>
          <w:tcPr>
            <w:tcW w:type="dxa" w:w="4320"/>
          </w:tcPr>
          <w:p>
            <w:r>
              <w:rPr>
                <w:sz w:val="17"/>
              </w:rPr>
              <w:t>cis-pQTL</w:t>
            </w:r>
          </w:p>
        </w:tc>
        <w:tc>
          <w:tcPr>
            <w:tcW w:type="dxa" w:w="4320"/>
          </w:tcPr>
          <w:p>
            <w:r>
              <w:rPr>
                <w:sz w:val="17"/>
              </w:rPr>
              <w:t>a variant near a gene that is associated with its plasma protein level.</w:t>
            </w:r>
          </w:p>
        </w:tc>
      </w:tr>
      <w:tr>
        <w:tc>
          <w:tcPr>
            <w:tcW w:type="dxa" w:w="4320"/>
          </w:tcPr>
          <w:p>
            <w:r>
              <w:rPr>
                <w:sz w:val="17"/>
              </w:rPr>
              <w:t>MR</w:t>
            </w:r>
          </w:p>
        </w:tc>
        <w:tc>
          <w:tcPr>
            <w:tcW w:type="dxa" w:w="4320"/>
          </w:tcPr>
          <w:p>
            <w:r>
              <w:rPr>
                <w:sz w:val="17"/>
              </w:rPr>
              <w:t>Mendelian randomization — causal inference using genetic variants as instruments.</w:t>
            </w:r>
          </w:p>
        </w:tc>
      </w:tr>
      <w:tr>
        <w:tc>
          <w:tcPr>
            <w:tcW w:type="dxa" w:w="4320"/>
          </w:tcPr>
          <w:p>
            <w:r>
              <w:rPr>
                <w:sz w:val="17"/>
              </w:rPr>
              <w:t>Wald ratio</w:t>
            </w:r>
          </w:p>
        </w:tc>
        <w:tc>
          <w:tcPr>
            <w:tcW w:type="dxa" w:w="4320"/>
          </w:tcPr>
          <w:p>
            <w:r>
              <w:rPr>
                <w:sz w:val="17"/>
              </w:rPr>
              <w:t>single-instrument MR estimate = outcome effect / exposure effect.</w:t>
            </w:r>
          </w:p>
        </w:tc>
      </w:tr>
      <w:tr>
        <w:tc>
          <w:tcPr>
            <w:tcW w:type="dxa" w:w="4320"/>
          </w:tcPr>
          <w:p>
            <w:r>
              <w:rPr>
                <w:sz w:val="17"/>
              </w:rPr>
              <w:t>OR</w:t>
            </w:r>
          </w:p>
        </w:tc>
        <w:tc>
          <w:tcPr>
            <w:tcW w:type="dxa" w:w="4320"/>
          </w:tcPr>
          <w:p>
            <w:r>
              <w:rPr>
                <w:sz w:val="17"/>
              </w:rPr>
              <w:t>odds ratio; OR&gt;1 = higher protein raises risk, OR&lt;1 = lowers risk.</w:t>
            </w:r>
          </w:p>
        </w:tc>
      </w:tr>
      <w:tr>
        <w:tc>
          <w:tcPr>
            <w:tcW w:type="dxa" w:w="4320"/>
          </w:tcPr>
          <w:p>
            <w:r>
              <w:rPr>
                <w:sz w:val="17"/>
              </w:rPr>
              <w:t>FDR</w:t>
            </w:r>
          </w:p>
        </w:tc>
        <w:tc>
          <w:tcPr>
            <w:tcW w:type="dxa" w:w="4320"/>
          </w:tcPr>
          <w:p>
            <w:r>
              <w:rPr>
                <w:sz w:val="17"/>
              </w:rPr>
              <w:t>false-discovery rate; controlled here at 5% by Benjamini–Hochberg.</w:t>
            </w:r>
          </w:p>
        </w:tc>
      </w:tr>
      <w:tr>
        <w:tc>
          <w:tcPr>
            <w:tcW w:type="dxa" w:w="4320"/>
          </w:tcPr>
          <w:p>
            <w:r>
              <w:rPr>
                <w:sz w:val="17"/>
              </w:rPr>
              <w:t>coloc / PP.H4</w:t>
            </w:r>
          </w:p>
        </w:tc>
        <w:tc>
          <w:tcPr>
            <w:tcW w:type="dxa" w:w="4320"/>
          </w:tcPr>
          <w:p>
            <w:r>
              <w:rPr>
                <w:sz w:val="17"/>
              </w:rPr>
              <w:t>colocalization; posterior probability that exposure and outcome share one causal variant.</w:t>
            </w:r>
          </w:p>
        </w:tc>
      </w:tr>
      <w:tr>
        <w:tc>
          <w:tcPr>
            <w:tcW w:type="dxa" w:w="4320"/>
          </w:tcPr>
          <w:p>
            <w:r>
              <w:rPr>
                <w:sz w:val="17"/>
              </w:rPr>
              <w:t>Wakefield ABF</w:t>
            </w:r>
          </w:p>
        </w:tc>
        <w:tc>
          <w:tcPr>
            <w:tcW w:type="dxa" w:w="4320"/>
          </w:tcPr>
          <w:p>
            <w:r>
              <w:rPr>
                <w:sz w:val="17"/>
              </w:rPr>
              <w:t>per-SNP approximate Bayes factor used inside coloc.abf.</w:t>
            </w:r>
          </w:p>
        </w:tc>
      </w:tr>
      <w:tr>
        <w:tc>
          <w:tcPr>
            <w:tcW w:type="dxa" w:w="4320"/>
          </w:tcPr>
          <w:p>
            <w:r>
              <w:rPr>
                <w:sz w:val="17"/>
              </w:rPr>
              <w:t>LD</w:t>
            </w:r>
          </w:p>
        </w:tc>
        <w:tc>
          <w:tcPr>
            <w:tcW w:type="dxa" w:w="4320"/>
          </w:tcPr>
          <w:p>
            <w:r>
              <w:rPr>
                <w:sz w:val="17"/>
              </w:rPr>
              <w:t>linkage disequilibrium — correlation between nearby variants; extreme in the MHC.</w:t>
            </w:r>
          </w:p>
        </w:tc>
      </w:tr>
      <w:tr>
        <w:tc>
          <w:tcPr>
            <w:tcW w:type="dxa" w:w="4320"/>
          </w:tcPr>
          <w:p>
            <w:r>
              <w:rPr>
                <w:sz w:val="17"/>
              </w:rPr>
              <w:t>MHC</w:t>
            </w:r>
          </w:p>
        </w:tc>
        <w:tc>
          <w:tcPr>
            <w:tcW w:type="dxa" w:w="4320"/>
          </w:tcPr>
          <w:p>
            <w:r>
              <w:rPr>
                <w:sz w:val="17"/>
              </w:rPr>
              <w:t>major histocompatibility complex (chromosome 6); LD-confounded, held at nomination.</w:t>
            </w:r>
          </w:p>
        </w:tc>
      </w:tr>
      <w:tr>
        <w:tc>
          <w:tcPr>
            <w:tcW w:type="dxa" w:w="4320"/>
          </w:tcPr>
          <w:p>
            <w:r>
              <w:rPr>
                <w:sz w:val="17"/>
              </w:rPr>
              <w:t>elastic net</w:t>
            </w:r>
          </w:p>
        </w:tc>
        <w:tc>
          <w:tcPr>
            <w:tcW w:type="dxa" w:w="4320"/>
          </w:tcPr>
          <w:p>
            <w:r>
              <w:rPr>
                <w:sz w:val="17"/>
              </w:rPr>
              <w:t>penalised regression mixing L1 (selection) and L2 (stability).</w:t>
            </w:r>
          </w:p>
        </w:tc>
      </w:tr>
      <w:tr>
        <w:tc>
          <w:tcPr>
            <w:tcW w:type="dxa" w:w="4320"/>
          </w:tcPr>
          <w:p>
            <w:r>
              <w:rPr>
                <w:sz w:val="17"/>
              </w:rPr>
              <w:t>C-index</w:t>
            </w:r>
          </w:p>
        </w:tc>
        <w:tc>
          <w:tcPr>
            <w:tcW w:type="dxa" w:w="4320"/>
          </w:tcPr>
          <w:p>
            <w:r>
              <w:rPr>
                <w:sz w:val="17"/>
              </w:rPr>
              <w:t>Harrell’s concordance for right-censored survival discrimination.</w:t>
            </w:r>
          </w:p>
        </w:tc>
      </w:tr>
      <w:tr>
        <w:tc>
          <w:tcPr>
            <w:tcW w:type="dxa" w:w="4320"/>
          </w:tcPr>
          <w:p>
            <w:r>
              <w:rPr>
                <w:sz w:val="17"/>
              </w:rPr>
              <w:t>AUROC</w:t>
            </w:r>
          </w:p>
        </w:tc>
        <w:tc>
          <w:tcPr>
            <w:tcW w:type="dxa" w:w="4320"/>
          </w:tcPr>
          <w:p>
            <w:r>
              <w:rPr>
                <w:sz w:val="17"/>
              </w:rPr>
              <w:t>area under the ROC curve; fixed-horizon classification discrimination.</w:t>
            </w:r>
          </w:p>
        </w:tc>
      </w:tr>
      <w:tr>
        <w:tc>
          <w:tcPr>
            <w:tcW w:type="dxa" w:w="4320"/>
          </w:tcPr>
          <w:p>
            <w:r>
              <w:rPr>
                <w:sz w:val="17"/>
              </w:rPr>
              <w:t>PIRS</w:t>
            </w:r>
          </w:p>
        </w:tc>
        <w:tc>
          <w:tcPr>
            <w:tcW w:type="dxa" w:w="4320"/>
          </w:tcPr>
          <w:p>
            <w:r>
              <w:rPr>
                <w:sz w:val="17"/>
              </w:rPr>
              <w:t>Plasma Immune Risk Score — the supervised model of this document.</w:t>
            </w:r>
          </w:p>
        </w:tc>
      </w:tr>
      <w:tr>
        <w:tc>
          <w:tcPr>
            <w:tcW w:type="dxa" w:w="4320"/>
          </w:tcPr>
          <w:p>
            <w:r>
              <w:rPr>
                <w:sz w:val="17"/>
              </w:rPr>
              <w:t>evidence tier</w:t>
            </w:r>
          </w:p>
        </w:tc>
        <w:tc>
          <w:tcPr>
            <w:tcW w:type="dxa" w:w="4320"/>
          </w:tcPr>
          <w:p>
            <w:r>
              <w:rPr>
                <w:sz w:val="17"/>
              </w:rPr>
              <w:t>T2 MHC-caution → T3 nomination → T4 transcript-causal → T5 protein-causal.</w:t>
            </w:r>
          </w:p>
        </w:tc>
      </w:tr>
    </w:tbl>
    <w:p>
      <w:r>
        <w:br w:type="page"/>
      </w:r>
    </w:p>
    <w:p>
      <w:pPr>
        <w:pStyle w:val="Heading1"/>
      </w:pPr>
      <w:r>
        <w:rPr>
          <w:color w:val="1F4E79"/>
        </w:rPr>
        <w:t>Appendix 4 · Key references and resources</w:t>
      </w:r>
    </w:p>
    <w:p>
      <w:pPr>
        <w:pStyle w:val="ListNumber"/>
      </w:pPr>
      <w:r>
        <w:rPr>
          <w:sz w:val="19"/>
        </w:rPr>
        <w:t>Sun BB et al. Genomic atlas of the human plasma proteome (INTERVAL). Nature, 2018.</w:t>
      </w:r>
    </w:p>
    <w:p>
      <w:pPr>
        <w:pStyle w:val="ListNumber"/>
      </w:pPr>
      <w:r>
        <w:rPr>
          <w:sz w:val="19"/>
        </w:rPr>
        <w:t>Võsa U et al. Large-scale cis- and trans-eQTL analyses (eQTLGen). Nat Genet, 2021.</w:t>
      </w:r>
    </w:p>
    <w:p>
      <w:pPr>
        <w:pStyle w:val="ListNumber"/>
      </w:pPr>
      <w:r>
        <w:rPr>
          <w:sz w:val="19"/>
        </w:rPr>
        <w:t>Kurki MI et al. FinnGen: genome-wide association of the Finnish biobank (R12). Nature, 2023.</w:t>
      </w:r>
    </w:p>
    <w:p>
      <w:pPr>
        <w:pStyle w:val="ListNumber"/>
      </w:pPr>
      <w:r>
        <w:rPr>
          <w:sz w:val="19"/>
        </w:rPr>
        <w:t>Giambartolomei C et al. Bayesian colocalization (coloc.abf). PLoS Genet, 2014.</w:t>
      </w:r>
    </w:p>
    <w:p>
      <w:pPr>
        <w:pStyle w:val="ListNumber"/>
      </w:pPr>
      <w:r>
        <w:rPr>
          <w:sz w:val="19"/>
        </w:rPr>
        <w:t>Wakefield J. Bayes factors for genome-wide association studies. Genet Epidemiol, 2009.</w:t>
      </w:r>
    </w:p>
    <w:p>
      <w:pPr>
        <w:pStyle w:val="ListNumber"/>
      </w:pPr>
      <w:r>
        <w:rPr>
          <w:sz w:val="19"/>
        </w:rPr>
        <w:t>Zhu Z et al. Integration of summary data (SMR); Z-to-effect transformation. Nat Genet, 2016.</w:t>
      </w:r>
    </w:p>
    <w:p>
      <w:pPr>
        <w:pStyle w:val="ListNumber"/>
      </w:pPr>
      <w:r>
        <w:rPr>
          <w:sz w:val="19"/>
        </w:rPr>
        <w:t>Uhlén M et al. Human Protein Atlas: tissue and immune-cell proteome. Science, 2015/2019.</w:t>
      </w:r>
    </w:p>
    <w:p>
      <w:pPr>
        <w:pStyle w:val="ListNumber"/>
      </w:pPr>
      <w:r>
        <w:rPr>
          <w:sz w:val="19"/>
        </w:rPr>
        <w:t>Liberzon A et al. Molecular Signatures Database (MSigDB C7/C8). Cell Systems, 2015.</w:t>
      </w:r>
    </w:p>
    <w:p>
      <w:pPr>
        <w:pStyle w:val="ListNumber"/>
      </w:pPr>
      <w:r>
        <w:rPr>
          <w:sz w:val="19"/>
        </w:rPr>
        <w:t>Hemani G et al. The MR-Base / OpenGWAS platform. eLife, 2018.</w:t>
      </w:r>
    </w:p>
    <w:p>
      <w:pPr>
        <w:pStyle w:val="ListNumber"/>
      </w:pPr>
      <w:r>
        <w:rPr>
          <w:sz w:val="19"/>
        </w:rPr>
        <w:t>Benjamini Y, Hochberg Y. Controlling the false discovery rate. JRSS-B, 1995.</w:t>
      </w:r>
    </w:p>
    <w:p>
      <w:pPr>
        <w:pStyle w:val="ListNumber"/>
      </w:pPr>
      <w:r>
        <w:rPr>
          <w:sz w:val="19"/>
        </w:rPr>
        <w:t>Simon N et al. Regularization paths for Cox’s model via coordinate descent (elastic-net Cox). J Stat Softw, 2011.</w:t>
      </w:r>
    </w:p>
    <w:p/>
    <w:p>
      <w:pPr>
        <w:jc w:val="center"/>
      </w:pPr>
      <w:r>
        <w:rPr>
          <w:i/>
          <w:color w:val="555555"/>
        </w:rPr>
        <w:t>End of methodology monograph.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