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00" w:after="80"/>
      </w:pPr>
      <w:r>
        <w:rPr>
          <w:b/>
          <w:color w:val="1B365D"/>
          <w:sz w:val="44"/>
        </w:rPr>
        <w:t>MLB 投手機制穩定度指數 (MSI)</w:t>
        <w:br/>
        <w:t>與即時崩潰早期預警系統</w:t>
      </w:r>
    </w:p>
    <w:p>
      <w:pPr>
        <w:spacing w:after="320"/>
      </w:pPr>
      <w:r>
        <w:rPr>
          <w:color w:val="4A5568"/>
          <w:sz w:val="24"/>
        </w:rPr>
        <w:t>基於高頻 Statcast 微觀運動學特徵之多變量時序檢定與雲端湖倉落地架構</w:t>
      </w:r>
    </w:p>
    <w:tbl>
      <w:tblPr>
        <w:tblW w:type="auto" w:w="0"/>
        <w:jc w:val="center"/>
        <w:tblLook w:firstColumn="1" w:firstRow="1" w:lastColumn="0" w:lastRow="0" w:noHBand="0" w:noVBand="1" w:val="04A0"/>
        <w:tblBorders>
          <w:top w:val="single" w:sz="8" w:space="0" w:color="1B365D"/>
          <w:bottom w:val="single" w:sz="12" w:space="0" w:color="1B365D"/>
          <w:insideH w:val="single" w:sz="4" w:space="0" w:color="CBD5E0"/>
          <w:insideV w:val="none"/>
          <w:left w:val="none"/>
          <w:right w:val="none"/>
        </w:tblBorders>
      </w:tblPr>
      <w:tblGrid>
        <w:gridCol w:w="4680"/>
        <w:gridCol w:w="4680"/>
      </w:tblGrid>
      <w:tr>
        <w:tc>
          <w:tcPr>
            <w:tcW w:type="dxa" w:w="2016"/>
            <w:shd w:fill="EDF2F7"/>
            <w:tcMar>
              <w:top w:w="60" w:type="dxa"/>
              <w:bottom w:w="60" w:type="dxa"/>
              <w:left w:w="100" w:type="dxa"/>
              <w:right w:w="100" w:type="dxa"/>
            </w:tcMar>
          </w:tcPr>
          <w:p>
            <w:r>
              <w:rPr>
                <w:b/>
                <w:color w:val="2D3748"/>
                <w:sz w:val="19"/>
              </w:rPr>
              <w:t>專案定位</w:t>
            </w:r>
          </w:p>
        </w:tc>
        <w:tc>
          <w:tcPr>
            <w:tcW w:type="dxa" w:w="7344"/>
            <w:shd w:fill="F7FAFC"/>
            <w:tcMar>
              <w:top w:w="60" w:type="dxa"/>
              <w:bottom w:w="60" w:type="dxa"/>
              <w:left w:w="100" w:type="dxa"/>
              <w:right w:w="100" w:type="dxa"/>
            </w:tcMar>
          </w:tcPr>
          <w:p>
            <w:r>
              <w:rPr>
                <w:color w:val="1A202C"/>
                <w:sz w:val="19"/>
              </w:rPr>
              <w:t>MLB 先發投手運動力學微崩潰早期預警系統（Production-Grade Research System）</w:t>
            </w:r>
          </w:p>
        </w:tc>
      </w:tr>
      <w:tr>
        <w:tc>
          <w:tcPr>
            <w:tcW w:type="dxa" w:w="2016"/>
            <w:shd w:fill="EDF2F7"/>
            <w:tcMar>
              <w:top w:w="60" w:type="dxa"/>
              <w:bottom w:w="60" w:type="dxa"/>
              <w:left w:w="100" w:type="dxa"/>
              <w:right w:w="100" w:type="dxa"/>
            </w:tcMar>
          </w:tcPr>
          <w:p>
            <w:r>
              <w:rPr>
                <w:b/>
                <w:color w:val="2D3748"/>
                <w:sz w:val="19"/>
              </w:rPr>
              <w:t>核心受眾</w:t>
            </w:r>
          </w:p>
        </w:tc>
        <w:tc>
          <w:tcPr>
            <w:tcW w:type="dxa" w:w="7344"/>
            <w:shd w:fill="F7FAFC"/>
            <w:tcMar>
              <w:top w:w="60" w:type="dxa"/>
              <w:bottom w:w="60" w:type="dxa"/>
              <w:left w:w="100" w:type="dxa"/>
              <w:right w:w="100" w:type="dxa"/>
            </w:tcMar>
          </w:tcPr>
          <w:p>
            <w:r>
              <w:rPr>
                <w:color w:val="1A202C"/>
                <w:sz w:val="19"/>
              </w:rPr>
              <w:t>評審委員（數據科學專家、職棒投手教練、棒球分析愛好者）</w:t>
            </w:r>
          </w:p>
        </w:tc>
      </w:tr>
      <w:tr>
        <w:tc>
          <w:tcPr>
            <w:tcW w:type="dxa" w:w="2016"/>
            <w:shd w:fill="EDF2F7"/>
            <w:tcMar>
              <w:top w:w="60" w:type="dxa"/>
              <w:bottom w:w="60" w:type="dxa"/>
              <w:left w:w="100" w:type="dxa"/>
              <w:right w:w="100" w:type="dxa"/>
            </w:tcMar>
          </w:tcPr>
          <w:p>
            <w:r>
              <w:rPr>
                <w:b/>
                <w:color w:val="2D3748"/>
                <w:sz w:val="19"/>
              </w:rPr>
              <w:t>驗證數據</w:t>
            </w:r>
          </w:p>
        </w:tc>
        <w:tc>
          <w:tcPr>
            <w:tcW w:type="dxa" w:w="7344"/>
            <w:shd w:fill="F7FAFC"/>
            <w:tcMar>
              <w:top w:w="60" w:type="dxa"/>
              <w:bottom w:w="60" w:type="dxa"/>
              <w:left w:w="100" w:type="dxa"/>
              <w:right w:w="100" w:type="dxa"/>
            </w:tcMar>
          </w:tcPr>
          <w:p>
            <w:r>
              <w:rPr>
                <w:color w:val="1A202C"/>
                <w:sz w:val="19"/>
              </w:rPr>
              <w:t>真實 MLB Statcast 官方高頻軌跡數據（2023–2025 賽季，40 位合格先發投手）</w:t>
            </w:r>
          </w:p>
        </w:tc>
      </w:tr>
      <w:tr>
        <w:tc>
          <w:tcPr>
            <w:tcW w:type="dxa" w:w="2016"/>
            <w:shd w:fill="EDF2F7"/>
            <w:tcMar>
              <w:top w:w="60" w:type="dxa"/>
              <w:bottom w:w="60" w:type="dxa"/>
              <w:left w:w="100" w:type="dxa"/>
              <w:right w:w="100" w:type="dxa"/>
            </w:tcMar>
          </w:tcPr>
          <w:p>
            <w:r>
              <w:rPr>
                <w:b/>
                <w:color w:val="2D3748"/>
                <w:sz w:val="19"/>
              </w:rPr>
              <w:t>核心成果</w:t>
            </w:r>
          </w:p>
        </w:tc>
        <w:tc>
          <w:tcPr>
            <w:tcW w:type="dxa" w:w="7344"/>
            <w:shd w:fill="F7FAFC"/>
            <w:tcMar>
              <w:top w:w="60" w:type="dxa"/>
              <w:bottom w:w="60" w:type="dxa"/>
              <w:left w:w="100" w:type="dxa"/>
              <w:right w:w="100" w:type="dxa"/>
            </w:tcMar>
          </w:tcPr>
          <w:p>
            <w:r>
              <w:rPr>
                <w:color w:val="1A202C"/>
                <w:sz w:val="19"/>
              </w:rPr>
              <w:t>2025 凍結盲測相對風險比 (Lift) 1.45×，平均領先 8.4 顆球 (2.5 個打席) 發出預警</w:t>
            </w:r>
          </w:p>
        </w:tc>
      </w:tr>
    </w:tbl>
    <w:p>
      <w:pPr>
        <w:spacing w:after="200"/>
      </w:pPr>
    </w:p>
    <w:tbl>
      <w:tblPr>
        <w:tblW w:type="auto" w:w="0"/>
        <w:jc w:val="center"/>
        <w:tblLayout w:type="fixed"/>
        <w:tblLook w:firstColumn="1" w:firstRow="1" w:lastColumn="0" w:lastRow="0" w:noHBand="0" w:noVBand="1" w:val="04A0"/>
      </w:tblPr>
      <w:tblGrid>
        <w:gridCol w:w="9360"/>
      </w:tblGrid>
      <w:tr>
        <w:tc>
          <w:tcPr>
            <w:tcW w:type="dxa" w:w="9360"/>
            <w:shd w:fill="F0F4F8"/>
            <w:tcMar>
              <w:top w:w="140" w:type="dxa"/>
              <w:bottom w:w="140" w:type="dxa"/>
              <w:left w:w="180" w:type="dxa"/>
              <w:right w:w="180" w:type="dxa"/>
            </w:tcMar>
            <w:tcBorders>
              <w:left w:val="single" w:sz="24" w:space="0" w:color="1B365D"/>
              <w:top w:val="none"/>
              <w:right w:val="none"/>
              <w:bottom w:val="none"/>
            </w:tcBorders>
          </w:tcPr>
          <w:p>
            <w:pPr>
              <w:spacing w:before="40" w:after="60"/>
            </w:pPr>
            <w:r>
              <w:rPr>
                <w:b/>
                <w:color w:val="1B365D"/>
                <w:sz w:val="21"/>
              </w:rPr>
              <w:t>📌 評審委員快速導讀指引（Target Audience Navigation）</w:t>
              <w:br/>
            </w:r>
            <w:r>
              <w:rPr>
                <w:color w:val="2D3748"/>
                <w:sz w:val="19"/>
              </w:rPr>
              <w:t>• 數據科學與統計評審：請重點審閱 第 4 章（旋轉連續性投影）、第 5 章（嚴格二次型馬氏距離與 CUSUM 時序檢定）與 第 6 章（無未來洩漏的 2025 凍結盲測、成對靴拔 95% 置信區間）。</w:t>
              <w:br/>
              <w:t>• 職棒教練與投手教練：請重點審閱 第 2 章（測速槍代償滯後痛點）、第 7 章（Chris Sale 受傷實戰案例與牛棚熱身時機）與 第 8 章（休息區調度戰術標準作業程序 SOP）。</w:t>
              <w:br/>
              <w:t>• 棒球愛好者與評審長：請參閱 第 1 章（執行摘要）與 第 2 章（生活化問題闡述），全面了解現代棒球科技如何解決「換投太慢送掉比賽」的百年難題。</w:t>
            </w:r>
          </w:p>
        </w:tc>
      </w:tr>
    </w:tbl>
    <w:p>
      <w:pPr>
        <w:spacing w:after="60"/>
      </w:pPr>
    </w:p>
    <w:p>
      <w:pPr>
        <w:pStyle w:val="Heading1"/>
        <w:keepNext/>
        <w:spacing w:before="360" w:after="120"/>
      </w:pPr>
      <w:r>
        <w:rPr>
          <w:b/>
          <w:color w:val="1B365D"/>
          <w:sz w:val="32"/>
        </w:rPr>
        <w:t>第 1 章：研究動機與執行摘要 (Executive Summary)</w:t>
      </w:r>
    </w:p>
    <w:p>
      <w:pPr>
        <w:spacing w:after="100" w:line="276" w:lineRule="auto"/>
      </w:pPr>
      <w:r>
        <w:rPr>
          <w:color w:val="2D3748"/>
          <w:sz w:val="20"/>
        </w:rPr>
        <w:t>在現代職業棒球（MLB / CPBL）的競技場上，「何時更換先發投手」始終是左右比賽勝負與球員運動壽命的最關鍵決策。過去百年來，現場教練團依賴的指標極度原始——主要依靠「測速槍球速下降（Velocity Drop）」與「用球數滿 100 球的經驗門檻」。然而，運動生物力學的殘酷真相是：當投手身體開始疲勞時，大腦會本能地下達代償指令，透過肩膀與手肘硬甩來維持球速。因此，當測速槍真正測得球速下滑、或是場上連續被打長打失分時，投手的動力鏈往往早已瓦解，球隊往往已經付出被敲逆轉全壘打的慘痛代價。</w:t>
      </w:r>
    </w:p>
    <w:p>
      <w:pPr>
        <w:spacing w:after="100" w:line="276" w:lineRule="auto"/>
      </w:pPr>
      <w:r>
        <w:rPr>
          <w:color w:val="2D3748"/>
          <w:sz w:val="20"/>
        </w:rPr>
        <w:t>本研究旨在打造一套高精準度、低誤報率的「先發投手機制崩潰早期預警系統」。我們基於 MLB 官方 Statcast 毫米級光學與雷達追蹤軌跡，提出機制穩定度指數（Mechanics Stability Index, MSI），結合多變量馬氏距離（Mahalanobis Distance）與累計和變換點檢定（CUSUM），在球速尚未顯著下降前，精準捕捉指尖旋轉軸心與放球空間的微觀形變，為教練團爭取寶貴的牛棚熱身調度時間。</w:t>
      </w:r>
    </w:p>
    <w:p>
      <w:pPr>
        <w:pStyle w:val="Heading2"/>
        <w:keepNext/>
        <w:spacing w:before="240" w:after="80"/>
      </w:pPr>
      <w:r>
        <w:rPr>
          <w:b/>
          <w:color w:val="2B6CB0"/>
          <w:sz w:val="26"/>
        </w:rPr>
        <w:t>核心研發成果速覽</w:t>
      </w:r>
    </w:p>
    <w:p>
      <w:pPr>
        <w:pStyle w:val="ListBullet"/>
        <w:spacing w:after="60" w:line="276" w:lineRule="auto"/>
      </w:pPr>
      <w:r>
        <w:rPr>
          <w:b/>
          <w:color w:val="1A202C"/>
          <w:sz w:val="20"/>
        </w:rPr>
        <w:t>嚴格時序盲測協議：</w:t>
      </w:r>
      <w:r>
        <w:rPr>
          <w:color w:val="2D3748"/>
          <w:sz w:val="20"/>
        </w:rPr>
        <w:t xml:space="preserve"> 實施 2023（訓練）➔ 2024（驗證挑選閾值）➔ 2025（完全凍結盲測）之防洩漏時序切分協議，杜絕後見之明。</w:t>
      </w:r>
    </w:p>
    <w:p>
      <w:pPr>
        <w:pStyle w:val="ListBullet"/>
        <w:spacing w:after="60" w:line="276" w:lineRule="auto"/>
      </w:pPr>
      <w:r>
        <w:rPr>
          <w:b/>
          <w:color w:val="1A202C"/>
          <w:sz w:val="20"/>
        </w:rPr>
        <w:t>顯著風險提升 (Lift 1.45×)：</w:t>
      </w:r>
      <w:r>
        <w:rPr>
          <w:color w:val="2D3748"/>
          <w:sz w:val="20"/>
        </w:rPr>
        <w:t xml:space="preserve"> 在 2025 賽季完全未知的盲測資料中，MSI 警報觸發後 15 顆球內發生崩盤的相對風險比達到 1.45 倍（95% CI: [1.15, 1.68]），而傳統球速下降指標之預警能力為 0.0x（完全落後於失分）。</w:t>
      </w:r>
    </w:p>
    <w:p>
      <w:pPr>
        <w:pStyle w:val="ListBullet"/>
        <w:spacing w:after="60" w:line="276" w:lineRule="auto"/>
      </w:pPr>
      <w:r>
        <w:rPr>
          <w:b/>
          <w:color w:val="1A202C"/>
          <w:sz w:val="20"/>
        </w:rPr>
        <w:t>充裕調度領先時間 (Lead Time 8.4 球)：</w:t>
      </w:r>
      <w:r>
        <w:rPr>
          <w:color w:val="2D3748"/>
          <w:sz w:val="20"/>
        </w:rPr>
        <w:t xml:space="preserve"> 在成功發出預警的場次中，系統平均領先崩潰事件 8.38 顆球（中位數 9.0 顆球，相當於 2.5 至 3.0 個打席），給予牛棚投手充足的伸展與傳接熱身窗口。</w:t>
      </w:r>
    </w:p>
    <w:p>
      <w:pPr>
        <w:pStyle w:val="ListBullet"/>
        <w:spacing w:after="60" w:line="276" w:lineRule="auto"/>
      </w:pPr>
      <w:r>
        <w:rPr>
          <w:b/>
          <w:color w:val="1A202C"/>
          <w:sz w:val="20"/>
        </w:rPr>
        <w:t>運動生物力學突破：</w:t>
      </w:r>
      <w:r>
        <w:rPr>
          <w:color w:val="2D3748"/>
          <w:sz w:val="20"/>
        </w:rPr>
        <w:t xml:space="preserve"> 馬氏子空間分解（Subspace Decomposition）實證顯示：在機制異常特徵中，旋轉子空間（Spin Subspace）貢獻度高達 50.5%，而出手高度與延伸貢獻 24.2%，球速僅佔 8.9%，證實「旋轉失控先於球速衰減」之重要運動科學發現。</w:t>
      </w:r>
    </w:p>
    <w:p>
      <w:pPr>
        <w:pStyle w:val="ListBullet"/>
        <w:spacing w:after="60" w:line="276" w:lineRule="auto"/>
      </w:pPr>
      <w:r>
        <w:rPr>
          <w:b/>
          <w:color w:val="1A202C"/>
          <w:sz w:val="20"/>
        </w:rPr>
        <w:t>工業級雲端交付：</w:t>
      </w:r>
      <w:r>
        <w:rPr>
          <w:color w:val="2D3748"/>
          <w:sz w:val="20"/>
        </w:rPr>
        <w:t xml:space="preserve"> 本地端採用極速向量化 DuckDB + Parquet，雲端已實作 Google Cloud Platform（GCS 湖倉 + BigQuery 分區分群 + Cloud Run Jobs 雙階斷點續傳），並具備可隨時供休息區 iPad 查看的即時 Streamlit 監控儀表板。</w:t>
      </w:r>
    </w:p>
    <w:p>
      <w:pPr>
        <w:pStyle w:val="Heading1"/>
        <w:keepNext/>
        <w:spacing w:before="360" w:after="120"/>
      </w:pPr>
      <w:r>
        <w:rPr>
          <w:b/>
          <w:color w:val="1B365D"/>
          <w:sz w:val="32"/>
        </w:rPr>
        <w:t>第 2 章：棒球實戰痛點與問題定義 (Problem Formulation)</w:t>
      </w:r>
    </w:p>
    <w:p>
      <w:pPr>
        <w:pStyle w:val="Heading2"/>
        <w:keepNext/>
        <w:spacing w:before="240" w:after="80"/>
      </w:pPr>
      <w:r>
        <w:rPr>
          <w:b/>
          <w:color w:val="2B6CB0"/>
          <w:sz w:val="26"/>
        </w:rPr>
        <w:t>2.1 現代棒球教練團的永恆兩難</w:t>
      </w:r>
    </w:p>
    <w:p>
      <w:pPr>
        <w:spacing w:after="100" w:line="276" w:lineRule="auto"/>
      </w:pPr>
      <w:r>
        <w:rPr>
          <w:color w:val="2D3748"/>
          <w:sz w:val="20"/>
        </w:rPr>
        <w:t>現代棒球分析（Sabermetrics）已經充分證實了「打線第三輪懲罰（Times Through the Order Penalty, TTOP）」的存在：隨著面對同一打線次數增加，打者對投手的配球軌跡更加熟悉，投手的防禦率會呈幾何級數上升。然而，教練團無法在第 5 局無條件換下王牌投手，因為過早消耗牛棚將導致後援投手過勞（Bullpen Overuse），毀掉整個系列賽甚至整季戰績。教練團迫切需要知道的是：**眼前的先發投手，到底還能投、還是機制已經解體？**</w:t>
      </w:r>
    </w:p>
    <w:p>
      <w:pPr>
        <w:pStyle w:val="Heading2"/>
        <w:keepNext/>
        <w:spacing w:before="240" w:after="80"/>
      </w:pPr>
      <w:r>
        <w:rPr>
          <w:b/>
          <w:color w:val="2B6CB0"/>
          <w:sz w:val="26"/>
        </w:rPr>
        <w:t>2.2 傳統監控指標的致命缺陷</w:t>
      </w:r>
    </w:p>
    <w:p>
      <w:pPr>
        <w:pStyle w:val="ListBullet"/>
        <w:spacing w:after="60" w:line="276" w:lineRule="auto"/>
      </w:pPr>
      <w:r>
        <w:rPr>
          <w:b/>
          <w:color w:val="1A202C"/>
          <w:sz w:val="20"/>
        </w:rPr>
        <w:t>測速槍的滯後性與代償硬催 (Radar Gun Lag &amp; Compensation)：</w:t>
      </w:r>
      <w:r>
        <w:rPr>
          <w:color w:val="2D3748"/>
          <w:sz w:val="20"/>
        </w:rPr>
        <w:t>當投手下盤疲勞、核心支撐力減弱時，為了將球維持在好球帶，往往會過度運用肩關節與手肘加力甩臂（Arm Whipping）。在此代償階段，測速槍讀數甚至可能短暫上升，但放球點一致性與球路旋轉效率已急遽退化。等測速槍下降 1.5 mph 時，球路通常已經失投進紅中遭到重擊。實證顯示，球速下降是「事後驗屍指標」，而非「事前預警指標」。</w:t>
      </w:r>
    </w:p>
    <w:p>
      <w:pPr>
        <w:pStyle w:val="ListBullet"/>
        <w:spacing w:after="60" w:line="276" w:lineRule="auto"/>
      </w:pPr>
      <w:r>
        <w:rPr>
          <w:b/>
          <w:color w:val="1A202C"/>
          <w:sz w:val="20"/>
        </w:rPr>
        <w:t>定額用球數的僵化盲目 (Rigid Pitch Counts)：</w:t>
      </w:r>
      <w:r>
        <w:rPr>
          <w:color w:val="2D3748"/>
          <w:sz w:val="20"/>
        </w:rPr>
        <w:t>傳統棒球將 100 球視為鐵律，但每位投手的體能曲線完全不同。頂級王牌如 Zack Wheeler、Corbin Burnes 在 95 球時力學依然堅固，而部分側投或傷癒復出投手（如 Chris Sale）可能在 60-70 球即出現微力學失調。一刀切的定額用球數既浪費了好投手的續航力，又增加了疲勞投手受傷的風險。</w:t>
      </w:r>
    </w:p>
    <w:p>
      <w:pPr>
        <w:pStyle w:val="ListBullet"/>
        <w:spacing w:after="60" w:line="276" w:lineRule="auto"/>
      </w:pPr>
      <w:r>
        <w:rPr>
          <w:b/>
          <w:color w:val="1A202C"/>
          <w:sz w:val="20"/>
        </w:rPr>
        <w:t>調度真空期與高昂失分代價 (Reactive Pitching Change Penalty)：</w:t>
      </w:r>
      <w:r>
        <w:rPr>
          <w:color w:val="2D3748"/>
          <w:sz w:val="20"/>
        </w:rPr>
        <w:t>大聯盟先發投手每局平均製造 15-18 顆球。若等到投手保送連發、失分發生後才在休息區抓起電話叫牛棚熱身，牛棚通常需要至少 8-12 顆傳接球與 15 顆練投（約耗時 4-6 分鐘）。這段「調度真空期」正是失分大爆炸的溫床。</w:t>
      </w:r>
    </w:p>
    <w:p>
      <w:pPr>
        <w:pStyle w:val="Heading2"/>
        <w:keepNext/>
        <w:spacing w:before="240" w:after="80"/>
      </w:pPr>
      <w:r>
        <w:rPr>
          <w:b/>
          <w:color w:val="2B6CB0"/>
          <w:sz w:val="26"/>
        </w:rPr>
        <w:t>2.3 核心任務的嚴謹數學與營運定義</w:t>
      </w:r>
    </w:p>
    <w:p>
      <w:pPr>
        <w:spacing w:after="100" w:line="276" w:lineRule="auto"/>
      </w:pPr>
      <w:r>
        <w:rPr>
          <w:color w:val="2D3748"/>
          <w:sz w:val="20"/>
        </w:rPr>
        <w:t>為了讓預警系統具備嚴謹的科學檢定標準與實戰操作可行性，我們對問題進行了明確的數學定義：</w:t>
      </w:r>
    </w:p>
    <w:p>
      <w:pPr>
        <w:pStyle w:val="ListBullet"/>
        <w:spacing w:after="60" w:line="276" w:lineRule="auto"/>
      </w:pPr>
      <w:r>
        <w:rPr>
          <w:b/>
          <w:color w:val="1A202C"/>
          <w:sz w:val="20"/>
        </w:rPr>
        <w:t>先發投手崩潰事件 (Collapse Episode)：</w:t>
      </w:r>
      <w:r>
        <w:rPr>
          <w:color w:val="2D3748"/>
          <w:sz w:val="20"/>
        </w:rPr>
        <w:t>在滾動 3 名打席（PA）的滑動視窗內，若打者群面對該投手的預期加權整體攻擊指數（Blended Expected Weighted On-Base Average, blended xwOBA）達到 0.450 以上（全聯盟前 10% 的毀滅性攻擊產出），或連續出現 2 次以上 Barrel 強勁擊球，或單一視窗內出現 2 次以上四死球（BB/HBP）合併長打，即被標註為一次力學崩潰事件（Collapse Episode）。</w:t>
      </w:r>
    </w:p>
    <w:p>
      <w:pPr>
        <w:pStyle w:val="ListBullet"/>
        <w:spacing w:after="60" w:line="276" w:lineRule="auto"/>
      </w:pPr>
      <w:r>
        <w:rPr>
          <w:b/>
          <w:color w:val="1A202C"/>
          <w:sz w:val="20"/>
        </w:rPr>
        <w:t>預警有效前瞻視窗 (Prediction Horizon, H = 15 pitches)：</w:t>
      </w:r>
      <w:r>
        <w:rPr>
          <w:color w:val="2D3748"/>
          <w:sz w:val="20"/>
        </w:rPr>
        <w:t>系統所發出的機制異常警報，必須在崩潰事件發生前的 1 至 15 顆球（約 1 到 3 個打席）區間內觸發，方能被判定為成功預警（True Positive）。若警報發生在崩潰後或超出 15 球，則不具備戰術價值。</w:t>
      </w:r>
    </w:p>
    <w:p>
      <w:pPr>
        <w:pStyle w:val="ListBullet"/>
        <w:spacing w:after="60" w:line="276" w:lineRule="auto"/>
      </w:pPr>
      <w:r>
        <w:rPr>
          <w:b/>
          <w:color w:val="1A202C"/>
          <w:sz w:val="20"/>
        </w:rPr>
        <w:t>營運假警報容忍上限 (Operational False Alarm Ceiling)：</w:t>
      </w:r>
      <w:r>
        <w:rPr>
          <w:color w:val="2D3748"/>
          <w:sz w:val="20"/>
        </w:rPr>
        <w:t>在實務運作中，頻繁的「狼來了」假警報會徹底摧毀教練團對系統的信任，並導致牛棚無效熱身消耗。因此，我們在 2024 年驗證集上設定了嚴格的硬約束：每場先發最多僅允許 0.5 次未配對之獨立假警報（False Warnings per Outing ≤ 0.5），即平均每兩場先發才允許出現一次虛驚，在此嚴苛約束下尋求最大化召回率。</w:t>
      </w:r>
    </w:p>
    <w:p>
      <w:pPr>
        <w:pStyle w:val="Heading1"/>
        <w:keepNext/>
        <w:spacing w:before="360" w:after="120"/>
      </w:pPr>
      <w:r>
        <w:rPr>
          <w:b/>
          <w:color w:val="1B365D"/>
          <w:sz w:val="32"/>
        </w:rPr>
        <w:t>第 3 章：數據來源、母體篩選與資料血統 (Data Ingestion &amp; Integrity)</w:t>
      </w:r>
    </w:p>
    <w:p>
      <w:pPr>
        <w:spacing w:after="100" w:line="276" w:lineRule="auto"/>
      </w:pPr>
      <w:r>
        <w:rPr>
          <w:color w:val="2D3748"/>
          <w:sz w:val="20"/>
        </w:rPr>
        <w:t>本研究完全摒棄任何人工合成的物理模擬數據，100% 採用大聯盟官方 Statcast 光學與雷達追蹤系統的高頻實戰數據，並建立嚴格的資料治理與血統追蹤標準。</w:t>
      </w:r>
    </w:p>
    <w:p>
      <w:pPr>
        <w:pStyle w:val="Heading2"/>
        <w:keepNext/>
        <w:spacing w:before="240" w:after="80"/>
      </w:pPr>
      <w:r>
        <w:rPr>
          <w:b/>
          <w:color w:val="2B6CB0"/>
          <w:sz w:val="26"/>
        </w:rPr>
        <w:t>3.1 確定性無洩漏母體篩選 (Deterministic Cohort Selection)</w:t>
      </w:r>
    </w:p>
    <w:p>
      <w:pPr>
        <w:spacing w:after="100" w:line="276" w:lineRule="auto"/>
      </w:pPr>
      <w:r>
        <w:rPr>
          <w:color w:val="2D3748"/>
          <w:sz w:val="20"/>
        </w:rPr>
        <w:t>為防止機器學習中常見的「生存者偏差（Survivorship Bias）」與「未來資訊洩漏」，投手的選拔嚴格遵循以下協議：</w:t>
      </w:r>
    </w:p>
    <w:p>
      <w:pPr>
        <w:pStyle w:val="ListBullet"/>
        <w:spacing w:after="60" w:line="276" w:lineRule="auto"/>
      </w:pPr>
      <w:r>
        <w:rPr>
          <w:b/>
          <w:color w:val="1A202C"/>
          <w:sz w:val="20"/>
        </w:rPr>
        <w:t>歷史時間隔離 (Pre-test Isolation)：</w:t>
      </w:r>
      <w:r>
        <w:rPr>
          <w:color w:val="2D3748"/>
          <w:sz w:val="20"/>
        </w:rPr>
        <w:t>以 2024 年 12 月 31 日為歷史截止點（Selection Cutoff），僅統計 2023–2024 兩個賽季在大聯盟先發累計滿 30 場以上之投手作為合格候選池（共 132 位投手）。2025 賽季的任何出賽、傷病或成績均被完全遮蔽，絕對不作為選拔條件。</w:t>
      </w:r>
    </w:p>
    <w:p>
      <w:pPr>
        <w:pStyle w:val="ListBullet"/>
        <w:spacing w:after="60" w:line="276" w:lineRule="auto"/>
      </w:pPr>
      <w:r>
        <w:rPr>
          <w:b/>
          <w:color w:val="1A202C"/>
          <w:sz w:val="20"/>
        </w:rPr>
        <w:t>隨機種子確定性取樣 (Deterministic Sampling)：</w:t>
      </w:r>
      <w:r>
        <w:rPr>
          <w:color w:val="2D3748"/>
          <w:sz w:val="20"/>
        </w:rPr>
        <w:t>完整保留原本深入研究的 6 位代表性王牌投手（Corbin Burnes, Zack Wheeler, Kevin Gausman, Aaron Nola, Logan Webb, Chris Sale），並使用固定隨機種子（Seed: 20250917）對候選池進行 SHA-256 排序抽樣，擴充挑選 34 位投手，構成共 40 位涵蓋右投、左投、低角度側投、高角度四縫線強投之完整代表性母體。</w:t>
      </w:r>
    </w:p>
    <w:p>
      <w:pPr>
        <w:pStyle w:val="ListBullet"/>
        <w:spacing w:after="60" w:line="276" w:lineRule="auto"/>
      </w:pPr>
      <w:r>
        <w:rPr>
          <w:b/>
          <w:color w:val="1A202C"/>
          <w:sz w:val="20"/>
        </w:rPr>
        <w:t>可重現性審計 (Audit Provenance)：</w:t>
      </w:r>
      <w:r>
        <w:rPr>
          <w:color w:val="2D3748"/>
          <w:sz w:val="20"/>
        </w:rPr>
        <w:t>完整挑選清單與各投手出賽場次均輸出於 outputs/cohort_expansion/selection_pool.csv，確保任何人均能完全重現相同的母體名單。</w:t>
      </w:r>
    </w:p>
    <w:p>
      <w:pPr>
        <w:pStyle w:val="Heading2"/>
        <w:keepNext/>
        <w:spacing w:before="240" w:after="80"/>
      </w:pPr>
      <w:r>
        <w:rPr>
          <w:b/>
          <w:color w:val="2B6CB0"/>
          <w:sz w:val="26"/>
        </w:rPr>
        <w:t>3.2 先發出場資格與資料過濾準則</w:t>
      </w:r>
    </w:p>
    <w:p>
      <w:pPr>
        <w:spacing w:after="100" w:line="276" w:lineRule="auto"/>
      </w:pPr>
      <w:r>
        <w:rPr>
          <w:color w:val="2D3748"/>
          <w:sz w:val="20"/>
        </w:rPr>
        <w:t>針對母體投手之出賽紀錄，套用嚴格的棒球專業過濾條件：</w:t>
      </w:r>
    </w:p>
    <w:p>
      <w:pPr>
        <w:pStyle w:val="ListBullet"/>
        <w:spacing w:after="60" w:line="276" w:lineRule="auto"/>
      </w:pPr>
      <w:r>
        <w:rPr>
          <w:b/>
          <w:color w:val="1A202C"/>
          <w:sz w:val="20"/>
        </w:rPr>
        <w:t>投球數門檻 (Pitch Count Filter)：</w:t>
      </w:r>
      <w:r>
        <w:rPr>
          <w:color w:val="2D3748"/>
          <w:sz w:val="20"/>
        </w:rPr>
        <w:t>先發投手單場至少需投滿 50 顆球方納入評估（排除假先發 Opener、短局數投球或突發雨延中斷賽事）。</w:t>
      </w:r>
    </w:p>
    <w:p>
      <w:pPr>
        <w:pStyle w:val="ListBullet"/>
        <w:spacing w:after="60" w:line="276" w:lineRule="auto"/>
      </w:pPr>
      <w:r>
        <w:rPr>
          <w:b/>
          <w:color w:val="1A202C"/>
          <w:sz w:val="20"/>
        </w:rPr>
        <w:t>角色純化 (Role Purity)：</w:t>
      </w:r>
      <w:r>
        <w:rPr>
          <w:color w:val="2D3748"/>
          <w:sz w:val="20"/>
        </w:rPr>
        <w:t>嚴格剔除所有後援出賽、以及大比分差時野手上場客串投球之雜訊數據。</w:t>
      </w:r>
    </w:p>
    <w:p>
      <w:pPr>
        <w:pStyle w:val="ListBullet"/>
        <w:spacing w:after="60" w:line="276" w:lineRule="auto"/>
      </w:pPr>
      <w:r>
        <w:rPr>
          <w:b/>
          <w:color w:val="1A202C"/>
          <w:sz w:val="20"/>
        </w:rPr>
        <w:t>缺失率硬剔除 (Missingness Threshold)：</w:t>
      </w:r>
      <w:r>
        <w:rPr>
          <w:color w:val="2D3748"/>
          <w:sz w:val="20"/>
        </w:rPr>
        <w:t>若單場出賽中因追蹤設備失靈導致放球點或旋轉軸心之缺失比例超過 5%，該場先發直接排除，絕不以線性補值捏造運動學數據。</w:t>
      </w:r>
    </w:p>
    <w:p>
      <w:pPr>
        <w:pStyle w:val="Heading2"/>
        <w:keepNext/>
        <w:spacing w:before="240" w:after="80"/>
      </w:pPr>
      <w:r>
        <w:rPr>
          <w:b/>
          <w:color w:val="2B6CB0"/>
          <w:sz w:val="26"/>
        </w:rPr>
        <w:t>3.3 Medallion 五層數據湖倉架構</w:t>
      </w:r>
    </w:p>
    <w:p>
      <w:pPr>
        <w:spacing w:after="100" w:line="276" w:lineRule="auto"/>
      </w:pPr>
      <w:r>
        <w:rPr>
          <w:color w:val="2D3748"/>
          <w:sz w:val="20"/>
        </w:rPr>
        <w:t>為支援企業級資料分析與實時運算，系統採用現代資料湖倉（Data Lakehouse）之五層架構：</w:t>
      </w:r>
    </w:p>
    <w:p>
      <w:pPr>
        <w:pStyle w:val="ListBullet"/>
        <w:spacing w:after="60" w:line="276" w:lineRule="auto"/>
      </w:pPr>
      <w:r>
        <w:rPr>
          <w:b/>
          <w:color w:val="1A202C"/>
          <w:sz w:val="20"/>
        </w:rPr>
        <w:t>Bronze 層 (Raw Ingestion)：</w:t>
      </w:r>
      <w:r>
        <w:rPr>
          <w:color w:val="2D3748"/>
          <w:sz w:val="20"/>
        </w:rPr>
        <w:t>存放自 Statcast 原始 API 擷取之未加工投球軌跡 parquet 檔案，具備單一投手賽季之校驗簽名。</w:t>
      </w:r>
    </w:p>
    <w:p>
      <w:pPr>
        <w:pStyle w:val="ListBullet"/>
        <w:spacing w:after="60" w:line="276" w:lineRule="auto"/>
      </w:pPr>
      <w:r>
        <w:rPr>
          <w:b/>
          <w:color w:val="1A202C"/>
          <w:sz w:val="20"/>
        </w:rPr>
        <w:t>Silver-Staging 層 (Cleaned Data)：</w:t>
      </w:r>
      <w:r>
        <w:rPr>
          <w:color w:val="2D3748"/>
          <w:sz w:val="20"/>
        </w:rPr>
        <w:t>完成合格先發過濾、型態標準化、正規化投球排序 (game_pk, at_bat_number, pitch_number) 之標準化資料表。</w:t>
      </w:r>
    </w:p>
    <w:p>
      <w:pPr>
        <w:pStyle w:val="ListBullet"/>
        <w:spacing w:after="60" w:line="276" w:lineRule="auto"/>
      </w:pPr>
      <w:r>
        <w:rPr>
          <w:b/>
          <w:color w:val="1A202C"/>
          <w:sz w:val="20"/>
        </w:rPr>
        <w:t>Silver-Features 層 (Engineered Features)：</w:t>
      </w:r>
      <w:r>
        <w:rPr>
          <w:color w:val="2D3748"/>
          <w:sz w:val="20"/>
        </w:rPr>
        <w:t>計算投手個別球種歷史基準線、滾動運動學統計量、旋轉軸心三角函數投影之特徵表。</w:t>
      </w:r>
    </w:p>
    <w:p>
      <w:pPr>
        <w:pStyle w:val="ListBullet"/>
        <w:spacing w:after="60" w:line="276" w:lineRule="auto"/>
      </w:pPr>
      <w:r>
        <w:rPr>
          <w:b/>
          <w:color w:val="1A202C"/>
          <w:sz w:val="20"/>
        </w:rPr>
        <w:t>Gold-Facts 層 (Analytical Facts)：</w:t>
      </w:r>
      <w:r>
        <w:rPr>
          <w:color w:val="2D3748"/>
          <w:sz w:val="20"/>
        </w:rPr>
        <w:t>存放每顆球之馬氏異常距離、子空間分解貢獻比、MSI 指數、CUSUM 警報事件與崩潰事件標籤之核心事實表。</w:t>
      </w:r>
    </w:p>
    <w:p>
      <w:pPr>
        <w:pStyle w:val="ListBullet"/>
        <w:spacing w:after="60" w:line="276" w:lineRule="auto"/>
      </w:pPr>
      <w:r>
        <w:rPr>
          <w:b/>
          <w:color w:val="1A202C"/>
          <w:sz w:val="20"/>
        </w:rPr>
        <w:t>Gold-Marts 層 (Production Marts)：</w:t>
      </w:r>
      <w:r>
        <w:rPr>
          <w:color w:val="2D3748"/>
          <w:sz w:val="20"/>
        </w:rPr>
        <w:t>產生供教練儀表板與模型評估使用的彙總集市（mart_model_evaluation, mart_bootstrap_confidence_intervals 等）。</w:t>
      </w:r>
    </w:p>
    <w:p>
      <w:pPr>
        <w:pStyle w:val="Heading1"/>
        <w:keepNext/>
        <w:spacing w:before="360" w:after="120"/>
      </w:pPr>
      <w:r>
        <w:rPr>
          <w:b/>
          <w:color w:val="1B365D"/>
          <w:sz w:val="32"/>
        </w:rPr>
        <w:t>第 4 章：運動生物力學特徵工程 (Domain Kinematic Feature Engineering)</w:t>
      </w:r>
    </w:p>
    <w:p>
      <w:pPr>
        <w:spacing w:after="100" w:line="276" w:lineRule="auto"/>
      </w:pPr>
      <w:r>
        <w:rPr>
          <w:color w:val="2D3748"/>
          <w:sz w:val="20"/>
        </w:rPr>
        <w:t>運動數據分析的成敗取決於特徵是否符合人體運動學與物理規律。本章詳細闡述本研究最重要的兩項特徵工程突破：</w:t>
      </w:r>
    </w:p>
    <w:p>
      <w:pPr>
        <w:pStyle w:val="Heading2"/>
        <w:keepNext/>
        <w:spacing w:before="240" w:after="80"/>
      </w:pPr>
      <w:r>
        <w:rPr>
          <w:b/>
          <w:color w:val="2B6CB0"/>
          <w:sz w:val="26"/>
        </w:rPr>
        <w:t>4.1 圓周旋轉連續性 (Circular Spin Axis Continuity)</w:t>
      </w:r>
    </w:p>
    <w:p>
      <w:pPr>
        <w:spacing w:after="100" w:line="276" w:lineRule="auto"/>
      </w:pPr>
      <w:r>
        <w:rPr>
          <w:color w:val="2D3748"/>
          <w:sz w:val="20"/>
        </w:rPr>
        <w:t>【問題剖析】Statcast 系統使用角度（0° 至 360°）來描述球在空中的自轉軸心方向（Spin Axis）。例如：180° 代表正上旋（Topspin），0°/360° 代表正下旋（Backspin）。然而，在歐式幾何中，角度存在嚴重的「邊界斷裂問題（Circular Discontinuity）」。</w:t>
      </w:r>
    </w:p>
    <w:p>
      <w:pPr>
        <w:spacing w:after="100" w:line="276" w:lineRule="auto"/>
      </w:pPr>
      <w:r>
        <w:rPr>
          <w:color w:val="2D3748"/>
          <w:sz w:val="20"/>
        </w:rPr>
        <w:t>想像一位四縫線速球投手，其完美的放球軸心若在 0° 附近微幅擺動：前一顆球為 359°，下一顆球微調為 1°。在棒球物理上，這兩顆球的軸心僅相差 2°，手指切球機制幾乎完全一致；但若直接用傳統數值演算法計算差值，電腦會算出 |359 - 1| = 358° 的巨大差異，進而誤觸最高等級警報！</w:t>
      </w:r>
    </w:p>
    <w:p>
      <w:pPr>
        <w:spacing w:after="100" w:line="276" w:lineRule="auto"/>
      </w:pPr>
      <w:r>
        <w:rPr>
          <w:color w:val="2D3748"/>
          <w:sz w:val="20"/>
        </w:rPr>
        <w:t>【數學解法】為徹底根除此人為斷裂，我們採用二維單位圓連續向量投影技術，將一維角度標量分解為連續的三角函數坐標分量：</w:t>
      </w:r>
    </w:p>
    <w:p>
      <w:pPr>
        <w:pStyle w:val="ListBullet"/>
        <w:spacing w:after="60" w:line="276" w:lineRule="auto"/>
      </w:pPr>
      <w:r>
        <w:rPr>
          <w:b/>
          <w:color w:val="1A202C"/>
          <w:sz w:val="20"/>
        </w:rPr>
        <w:t>餘弦投影分量：</w:t>
      </w:r>
      <w:r>
        <w:rPr>
          <w:color w:val="2D3748"/>
          <w:sz w:val="20"/>
        </w:rPr>
        <w:t>spin_axis_cos = cos(θ · π / 180)</w:t>
      </w:r>
    </w:p>
    <w:p>
      <w:pPr>
        <w:pStyle w:val="ListBullet"/>
        <w:spacing w:after="60" w:line="276" w:lineRule="auto"/>
      </w:pPr>
      <w:r>
        <w:rPr>
          <w:b/>
          <w:color w:val="1A202C"/>
          <w:sz w:val="20"/>
        </w:rPr>
        <w:t>正弦投影分量：</w:t>
      </w:r>
      <w:r>
        <w:rPr>
          <w:color w:val="2D3748"/>
          <w:sz w:val="20"/>
        </w:rPr>
        <w:t>spin_axis_sin = sin(θ · π / 180)</w:t>
      </w:r>
    </w:p>
    <w:p>
      <w:pPr>
        <w:spacing w:after="100" w:line="276" w:lineRule="auto"/>
      </w:pPr>
      <w:r>
        <w:rPr>
          <w:color w:val="2D3748"/>
          <w:sz w:val="20"/>
        </w:rPr>
        <w:t>透過此轉換，359° (cos=0.9998, sin=-0.0175) 與 1° (cos=0.9998, sin=+0.0175) 在二維向量空間中的歐式距離僅為 0.035，完美還原了微小的 2° 物理微差，確保協方差矩陣運算的平滑性與數值穩定性。</w:t>
      </w:r>
    </w:p>
    <w:p>
      <w:pPr>
        <w:pStyle w:val="Heading2"/>
        <w:keepNext/>
        <w:spacing w:before="240" w:after="80"/>
      </w:pPr>
      <w:r>
        <w:rPr>
          <w:b/>
          <w:color w:val="2B6CB0"/>
          <w:sz w:val="26"/>
        </w:rPr>
        <w:t>4.2 垂直進壘角 (VAA) 與出手延伸量 (Extension)</w:t>
      </w:r>
    </w:p>
    <w:p>
      <w:pPr>
        <w:spacing w:after="100" w:line="276" w:lineRule="auto"/>
      </w:pPr>
      <w:r>
        <w:rPr>
          <w:color w:val="2D3748"/>
          <w:sz w:val="20"/>
        </w:rPr>
        <w:t>除了三維出手坐標 (release_pos_x, release_pos_y, release_pos_z) 與三維球路位移 (pfx_x, pfx_z) 外，我們引入了垂直進壘角（Vertical Approach Angle, VAA）：</w:t>
      </w:r>
    </w:p>
    <w:p>
      <w:pPr>
        <w:spacing w:after="100" w:line="276" w:lineRule="auto"/>
      </w:pPr>
      <w:r>
        <w:rPr>
          <w:color w:val="2D3748"/>
          <w:sz w:val="20"/>
        </w:rPr>
        <w:t>VAA = arctan(vz_plate / vy_plate) · (180 / π)</w:t>
        <w:br/>
        <w:t>當投手前導腳支撐力下降或軀幹提早傾倒時，出手點高度通常會下降，導致速球進壘角度變得過於平緩（Flat VAA），極易被現代打者的上揚揮棒軌跡（Uppercut Swing）掌握造成仰角重擊。</w:t>
      </w:r>
    </w:p>
    <w:p>
      <w:pPr>
        <w:pStyle w:val="Heading2"/>
        <w:keepNext/>
        <w:spacing w:before="240" w:after="80"/>
      </w:pPr>
      <w:r>
        <w:rPr>
          <w:b/>
          <w:color w:val="2B6CB0"/>
          <w:sz w:val="26"/>
        </w:rPr>
        <w:t>4.3 嚴格時序歷史基線 (Strict Historical Baseline: D_hist &lt; D)</w:t>
      </w:r>
    </w:p>
    <w:p>
      <w:pPr>
        <w:spacing w:after="100" w:line="276" w:lineRule="auto"/>
      </w:pPr>
      <w:r>
        <w:rPr>
          <w:color w:val="2D3748"/>
          <w:sz w:val="20"/>
        </w:rPr>
        <w:t>每位投手的身體結構、臂長與放球習慣截然不同（例如 Chris Sale 的低角度側肩 vs Kevin Gausman 的高壓出手）。因此，機制的「異常」不是跟聯盟平均比，而是**「跟投手自己的常態水準比」**。</w:t>
      </w:r>
    </w:p>
    <w:p>
      <w:pPr>
        <w:pStyle w:val="ListBullet"/>
        <w:spacing w:after="60" w:line="276" w:lineRule="auto"/>
      </w:pPr>
      <w:r>
        <w:rPr>
          <w:b/>
          <w:color w:val="1A202C"/>
          <w:sz w:val="20"/>
        </w:rPr>
        <w:t>嚴格小於當天出賽 (Strict Temporal Isolation)：</w:t>
      </w:r>
      <w:r>
        <w:rPr>
          <w:color w:val="2D3748"/>
          <w:sz w:val="20"/>
        </w:rPr>
        <w:t>對任何一場日期為 D 的先發出賽，建立其個人歷史基線時，僅允許使用出賽日期嚴格小於 D（D_hist &lt; D）的過去最多 12 場先發合格出賽。當天賽事及未來的所有數據被嚴格遮蔽。</w:t>
      </w:r>
    </w:p>
    <w:p>
      <w:pPr>
        <w:pStyle w:val="ListBullet"/>
        <w:spacing w:after="60" w:line="276" w:lineRule="auto"/>
      </w:pPr>
      <w:r>
        <w:rPr>
          <w:b/>
          <w:color w:val="1A202C"/>
          <w:sz w:val="20"/>
        </w:rPr>
        <w:t>冷啟動安全政策 (Cold-Start Safety Policy)：</w:t>
      </w:r>
      <w:r>
        <w:rPr>
          <w:color w:val="2D3748"/>
          <w:sz w:val="20"/>
        </w:rPr>
        <w:t>每位投手必須在大聯盟累積滿至少 5 場先發紀錄，系統方開始為其計算基線並啟動計分，避免小樣本下協方差矩陣估計失真。</w:t>
      </w:r>
    </w:p>
    <w:p>
      <w:pPr>
        <w:pStyle w:val="Heading2"/>
        <w:keepNext/>
        <w:spacing w:before="240" w:after="80"/>
      </w:pPr>
      <w:r>
        <w:rPr>
          <w:b/>
          <w:color w:val="2B6CB0"/>
          <w:sz w:val="26"/>
        </w:rPr>
        <w:t>4.4 局內開局前 20 球收縮動態校準 (Intra-game Shrinkage Isolation)</w:t>
      </w:r>
    </w:p>
    <w:p>
      <w:pPr>
        <w:spacing w:after="100" w:line="276" w:lineRule="auto"/>
      </w:pPr>
      <w:r>
        <w:rPr>
          <w:color w:val="2D3748"/>
          <w:sz w:val="20"/>
        </w:rPr>
        <w:t>投手在每場比賽當天的放球手感（Day-to-day feel）會受到天氣、氣溫、投手丘軟硬度而有日常微偏。若僅使用跨場歷史平均，會把當天正常的微偏誤判為疲勞異常。因此，我們實作了**局內開局收縮校準（Empirical Bayes Shrinkage Calibration）**：</w:t>
      </w:r>
    </w:p>
    <w:p>
      <w:pPr>
        <w:spacing w:after="100" w:line="276" w:lineRule="auto"/>
      </w:pPr>
      <w:r>
        <w:rPr>
          <w:color w:val="2D3748"/>
          <w:sz w:val="20"/>
        </w:rPr>
        <w:t>μ_calibrated = λ · μ_in-game(1..20) + (1 - λ) · μ_historical</w:t>
        <w:br/>
        <w:t>其中 λ = 0.35 為經驗收縮係數。更關鍵的統計防護在於：**比賽的前 20 顆球被明確標記為校準期（Calibration Phase），在此期間所有球路絕對不進行異常評分，CUSUM 檢定統計量強制歸零，嚴禁觸發任何警報！** 這徹底消除了開局自證循環（Self-fulfilling bias）的重大缺陷。</w:t>
      </w:r>
    </w:p>
    <w:p>
      <w:pPr>
        <w:pStyle w:val="Heading1"/>
        <w:keepNext/>
        <w:spacing w:before="360" w:after="120"/>
      </w:pPr>
      <w:r>
        <w:rPr>
          <w:b/>
          <w:color w:val="1B365D"/>
          <w:sz w:val="32"/>
        </w:rPr>
        <w:t>第 5 章：演算法架構與檢定流程 (Methodology)</w:t>
      </w:r>
    </w:p>
    <w:p>
      <w:pPr>
        <w:pStyle w:val="Heading2"/>
        <w:keepNext/>
        <w:spacing w:before="240" w:after="80"/>
      </w:pPr>
      <w:r>
        <w:rPr>
          <w:b/>
          <w:color w:val="2B6CB0"/>
          <w:sz w:val="26"/>
        </w:rPr>
        <w:t>5.1 多變量馬氏距離 (Exact Mahalanobis Quadratic Form)</w:t>
      </w:r>
    </w:p>
    <w:p>
      <w:pPr>
        <w:spacing w:after="100" w:line="276" w:lineRule="auto"/>
      </w:pPr>
      <w:r>
        <w:rPr>
          <w:color w:val="2D3748"/>
          <w:sz w:val="20"/>
        </w:rPr>
        <w:t>為什麼不能使用普通的幾何距離（歐式距離）來評估投球動作走樣？因為人體動作的各個物理特徵之間存在著強烈的**生物力學協方差連動（Covariance Coupling）**。例如：投手加速催球速時，手臂延伸自然會往前增加；若出手延伸量與球速同步增加，這是力學鏈的自然連動，並非動作變形。</w:t>
      </w:r>
    </w:p>
    <w:p>
      <w:pPr>
        <w:spacing w:after="100" w:line="276" w:lineRule="auto"/>
      </w:pPr>
      <w:r>
        <w:rPr>
          <w:color w:val="2D3748"/>
          <w:sz w:val="20"/>
        </w:rPr>
        <w:t>馬氏距離透過協方差矩陣的逆矩陣（Precision Matrix, Σ⁻¹），自動將維度量綱標準化並消除變數間的連動相關性，其嚴格二次型數學表達式為：</w:t>
      </w:r>
    </w:p>
    <w:p>
      <w:pPr>
        <w:spacing w:after="100" w:line="276" w:lineRule="auto"/>
      </w:pPr>
      <w:r>
        <w:rPr>
          <w:color w:val="2D3748"/>
          <w:sz w:val="20"/>
        </w:rPr>
        <w:t>D_M(x) = √[ (x - μ_calibrated)ᵀ · (Σ + εI)⁻¹ · (x - μ_calibrated) ]</w:t>
        <w:br/>
        <w:t>其中 ε = 10⁻⁴ 為嶺正則化係數（Ridge Regularization），確保在球種樣本有限時協方差矩陣依然具備強健的正定可逆性。</w:t>
      </w:r>
    </w:p>
    <w:p>
      <w:pPr>
        <w:spacing w:after="100" w:line="276" w:lineRule="auto"/>
      </w:pPr>
      <w:r>
        <w:rPr>
          <w:color w:val="2D3748"/>
          <w:sz w:val="20"/>
        </w:rPr>
        <w:t>接著，我們將馬氏距離透過指數衰減函數，映射為直觀的 0 至 100 分機制穩定度指數（MSI）：</w:t>
        <w:br/>
        <w:t>MSI = 100 · exp( -α · D_M )  (其中衰減常數 α = 0.45)</w:t>
        <w:br/>
        <w:t>MSI 越高代表動作與其歷史個人基準越契合，分數驟降則代表力學嚴重偏離常態。</w:t>
      </w:r>
    </w:p>
    <w:p>
      <w:pPr>
        <w:pStyle w:val="Heading2"/>
        <w:keepNext/>
        <w:spacing w:before="240" w:after="80"/>
      </w:pPr>
      <w:r>
        <w:rPr>
          <w:b/>
          <w:color w:val="2B6CB0"/>
          <w:sz w:val="26"/>
        </w:rPr>
        <w:t>5.2 馬氏子空間分解技術 (Subspace Decomposition)</w:t>
      </w:r>
    </w:p>
    <w:p>
      <w:pPr>
        <w:spacing w:after="100" w:line="276" w:lineRule="auto"/>
      </w:pPr>
      <w:r>
        <w:rPr>
          <w:color w:val="2D3748"/>
          <w:sz w:val="20"/>
        </w:rPr>
        <w:t>當單顆投球的馬氏距離偏高時，教練團必然會追問：「到底是哪項機制走樣？」我們透過正定協方差矩陣的塊投影（Block Projection），將多維度的馬氏距離精確分解為四個互斥的運動學子空間：</w:t>
      </w:r>
    </w:p>
    <w:p>
      <w:pPr>
        <w:pStyle w:val="ListBullet"/>
        <w:spacing w:after="60" w:line="276" w:lineRule="auto"/>
      </w:pPr>
      <w:r>
        <w:rPr>
          <w:b/>
          <w:color w:val="1A202C"/>
          <w:sz w:val="20"/>
        </w:rPr>
        <w:t>1. 旋轉子空間 (Spin Subspace)：</w:t>
      </w:r>
      <w:r>
        <w:rPr>
          <w:color w:val="2D3748"/>
          <w:sz w:val="20"/>
        </w:rPr>
        <w:t>涵蓋自轉轉速 (release_spin_rate) 與圓周旋轉軸心分量 (cos θ, sin θ)。</w:t>
      </w:r>
    </w:p>
    <w:p>
      <w:pPr>
        <w:pStyle w:val="ListBullet"/>
        <w:spacing w:after="60" w:line="276" w:lineRule="auto"/>
      </w:pPr>
      <w:r>
        <w:rPr>
          <w:b/>
          <w:color w:val="1A202C"/>
          <w:sz w:val="20"/>
        </w:rPr>
        <w:t>2. 出手點子空間 (Release Point &amp; Extension Subspace)：</w:t>
      </w:r>
      <w:r>
        <w:rPr>
          <w:color w:val="2D3748"/>
          <w:sz w:val="20"/>
        </w:rPr>
        <w:t>涵蓋水平出手坐標 (release_pos_x)、垂直出手高度 (release_pos_z) 與放球延伸度 (release_extension)。</w:t>
      </w:r>
    </w:p>
    <w:p>
      <w:pPr>
        <w:pStyle w:val="ListBullet"/>
        <w:spacing w:after="60" w:line="276" w:lineRule="auto"/>
      </w:pPr>
      <w:r>
        <w:rPr>
          <w:b/>
          <w:color w:val="1A202C"/>
          <w:sz w:val="20"/>
        </w:rPr>
        <w:t>3. 球路位移子空間 (Movement &amp; Approach Subspace)：</w:t>
      </w:r>
      <w:r>
        <w:rPr>
          <w:color w:val="2D3748"/>
          <w:sz w:val="20"/>
        </w:rPr>
        <w:t>涵蓋水平位移 (pfx_x)、垂直位移 (pfx_z) 與垂直進壘角 (vaa)。</w:t>
      </w:r>
    </w:p>
    <w:p>
      <w:pPr>
        <w:pStyle w:val="ListBullet"/>
        <w:spacing w:after="60" w:line="276" w:lineRule="auto"/>
      </w:pPr>
      <w:r>
        <w:rPr>
          <w:b/>
          <w:color w:val="1A202C"/>
          <w:sz w:val="20"/>
        </w:rPr>
        <w:t>4. 球速子空間 (Speed Subspace)：</w:t>
      </w:r>
      <w:r>
        <w:rPr>
          <w:color w:val="2D3748"/>
          <w:sz w:val="20"/>
        </w:rPr>
        <w:t>涵蓋放球初速 (release_speed) 與滾動球速離散度。</w:t>
      </w:r>
    </w:p>
    <w:p>
      <w:pPr>
        <w:spacing w:after="100" w:line="276" w:lineRule="auto"/>
      </w:pPr>
      <w:r>
        <w:rPr>
          <w:color w:val="2D3748"/>
          <w:sz w:val="20"/>
        </w:rPr>
        <w:t>系統計算各子空間對二次型偏差的百分比貢獻（contrib_pct），並即時標註出當前球路的「主導漂移特徵（Dominant Drift Feature）」，讓投手教練一眼洞悉投手的崩潰起因是手肘下垂、轉速失控還是延伸不足。</w:t>
      </w:r>
    </w:p>
    <w:p>
      <w:pPr>
        <w:pStyle w:val="Heading2"/>
        <w:keepNext/>
        <w:spacing w:before="240" w:after="80"/>
      </w:pPr>
      <w:r>
        <w:rPr>
          <w:b/>
          <w:color w:val="2B6CB0"/>
          <w:sz w:val="26"/>
        </w:rPr>
        <w:t>5.3 累計和 (CUSUM) 時序變換點檢定 (Changepoint Detection)</w:t>
      </w:r>
    </w:p>
    <w:p>
      <w:pPr>
        <w:spacing w:after="100" w:line="276" w:lineRule="auto"/>
      </w:pPr>
      <w:r>
        <w:rPr>
          <w:color w:val="2D3748"/>
          <w:sz w:val="20"/>
        </w:rPr>
        <w:t>投球是高頻隨機過程，單一顆投球的偏離可能只是戰術性引誘球或單一失投（Missed pitch），若單球異常就拉警報會造成災難性的假警報率。因此，系統引入統計製程品質管制中的**累計和檢定（CUSUM）**：</w:t>
      </w:r>
    </w:p>
    <w:p>
      <w:pPr>
        <w:spacing w:after="100" w:line="276" w:lineRule="auto"/>
      </w:pPr>
      <w:r>
        <w:rPr>
          <w:color w:val="2D3748"/>
          <w:sz w:val="20"/>
        </w:rPr>
        <w:t>S_0 = 0</w:t>
        <w:br/>
        <w:t>S_t = max( 0, S_{t-1} + (D_M,t - μ_0) / σ_0 - k )</w:t>
        <w:br/>
        <w:t>其中 k = 0.5 為容許鬆弛量（Slack parameter）。當機制維持穩定時，S_t 會在零附近浮動；一旦投手因疲勞出現持續性的動作變形，S_t 將迅速累積。當 S_t 突破決策臨界值 h（2024 驗證集選定之營運閾值）時，系統立即觸發持續性紅燈預警。</w:t>
      </w:r>
    </w:p>
    <w:p>
      <w:pPr>
        <w:pStyle w:val="Heading1"/>
        <w:keepNext/>
        <w:spacing w:before="360" w:after="120"/>
      </w:pPr>
      <w:r>
        <w:rPr>
          <w:b/>
          <w:color w:val="1B365D"/>
          <w:sz w:val="32"/>
        </w:rPr>
        <w:t>第 6 章：實證研究結果與基準模型對比 (Empirical Results)</w:t>
      </w:r>
    </w:p>
    <w:p>
      <w:pPr>
        <w:spacing w:after="100" w:line="276" w:lineRule="auto"/>
      </w:pPr>
      <w:r>
        <w:rPr>
          <w:color w:val="2D3748"/>
          <w:sz w:val="20"/>
        </w:rPr>
        <w:t>本研究在 2025 賽季完全鎖定的真實盲測測試集（Frozen 2025 Holdout Test Set）上進行了全維度評估。測試集涵蓋 138 場先發出賽、9,172 顆可計分投球與 219 個客觀崩潰事件。所有模型共享完全一致的真實標籤與一對一預警配對器。</w:t>
      </w:r>
    </w:p>
    <w:p>
      <w:pPr>
        <w:pStyle w:val="Heading2"/>
        <w:keepNext/>
        <w:spacing w:before="240" w:after="80"/>
      </w:pPr>
      <w:r>
        <w:rPr>
          <w:b/>
          <w:color w:val="2B6CB0"/>
          <w:sz w:val="26"/>
        </w:rPr>
        <w:t>6.1 凍結盲測模型對比總表</w:t>
      </w:r>
    </w:p>
    <w:tbl>
      <w:tblPr>
        <w:tblW w:type="auto" w:w="0"/>
        <w:jc w:val="center"/>
        <w:tblLook w:firstColumn="1" w:firstRow="1" w:lastColumn="0" w:lastRow="0" w:noHBand="0" w:noVBand="1" w:val="04A0"/>
        <w:tblBorders>
          <w:top w:val="single" w:sz="8" w:space="0" w:color="1B365D"/>
          <w:bottom w:val="single" w:sz="12" w:space="0" w:color="1B365D"/>
          <w:insideH w:val="single" w:sz="4" w:space="0" w:color="CBD5E0"/>
          <w:insideV w:val="none"/>
          <w:left w:val="none"/>
          <w:right w:val="none"/>
        </w:tblBorders>
      </w:tblPr>
      <w:tblGrid>
        <w:gridCol w:w="1560"/>
        <w:gridCol w:w="1560"/>
        <w:gridCol w:w="1560"/>
        <w:gridCol w:w="1560"/>
        <w:gridCol w:w="1560"/>
        <w:gridCol w:w="1560"/>
      </w:tblGrid>
      <w:tr>
        <w:tc>
          <w:tcPr>
            <w:tcW w:type="dxa" w:w="1560"/>
            <w:shd w:fill="1B365D"/>
            <w:tcMar>
              <w:top w:w="100" w:type="dxa"/>
              <w:bottom w:w="100" w:type="dxa"/>
              <w:left w:w="100" w:type="dxa"/>
              <w:right w:w="100" w:type="dxa"/>
            </w:tcMar>
          </w:tcPr>
          <w:p>
            <w:pPr>
              <w:jc w:val="center"/>
            </w:pPr>
            <w:r>
              <w:rPr>
                <w:b/>
                <w:color w:val="FFFFFF"/>
                <w:sz w:val="18"/>
              </w:rPr>
              <w:t>模型 / 監控系統</w:t>
            </w:r>
          </w:p>
        </w:tc>
        <w:tc>
          <w:tcPr>
            <w:tcW w:type="dxa" w:w="1560"/>
            <w:shd w:fill="1B365D"/>
            <w:tcMar>
              <w:top w:w="100" w:type="dxa"/>
              <w:bottom w:w="100" w:type="dxa"/>
              <w:left w:w="100" w:type="dxa"/>
              <w:right w:w="100" w:type="dxa"/>
            </w:tcMar>
          </w:tcPr>
          <w:p>
            <w:pPr>
              <w:jc w:val="center"/>
            </w:pPr>
            <w:r>
              <w:rPr>
                <w:b/>
                <w:color w:val="FFFFFF"/>
                <w:sz w:val="18"/>
              </w:rPr>
              <w:t>崩潰召回率</w:t>
              <w:br/>
              <w:t>(Recall)</w:t>
            </w:r>
          </w:p>
        </w:tc>
        <w:tc>
          <w:tcPr>
            <w:tcW w:type="dxa" w:w="1560"/>
            <w:shd w:fill="1B365D"/>
            <w:tcMar>
              <w:top w:w="100" w:type="dxa"/>
              <w:bottom w:w="100" w:type="dxa"/>
              <w:left w:w="100" w:type="dxa"/>
              <w:right w:w="100" w:type="dxa"/>
            </w:tcMar>
          </w:tcPr>
          <w:p>
            <w:pPr>
              <w:jc w:val="center"/>
            </w:pPr>
            <w:r>
              <w:rPr>
                <w:b/>
                <w:color w:val="FFFFFF"/>
                <w:sz w:val="18"/>
              </w:rPr>
              <w:t>預警精確率</w:t>
              <w:br/>
              <w:t>(Precision)</w:t>
            </w:r>
          </w:p>
        </w:tc>
        <w:tc>
          <w:tcPr>
            <w:tcW w:type="dxa" w:w="1560"/>
            <w:shd w:fill="1B365D"/>
            <w:tcMar>
              <w:top w:w="100" w:type="dxa"/>
              <w:bottom w:w="100" w:type="dxa"/>
              <w:left w:w="100" w:type="dxa"/>
              <w:right w:w="100" w:type="dxa"/>
            </w:tcMar>
          </w:tcPr>
          <w:p>
            <w:pPr>
              <w:jc w:val="center"/>
            </w:pPr>
            <w:r>
              <w:rPr>
                <w:b/>
                <w:color w:val="FFFFFF"/>
                <w:sz w:val="18"/>
              </w:rPr>
              <w:t>每場假警報</w:t>
              <w:br/>
              <w:t>(FAR/G)</w:t>
            </w:r>
          </w:p>
        </w:tc>
        <w:tc>
          <w:tcPr>
            <w:tcW w:type="dxa" w:w="1560"/>
            <w:shd w:fill="1B365D"/>
            <w:tcMar>
              <w:top w:w="100" w:type="dxa"/>
              <w:bottom w:w="100" w:type="dxa"/>
              <w:left w:w="100" w:type="dxa"/>
              <w:right w:w="100" w:type="dxa"/>
            </w:tcMar>
          </w:tcPr>
          <w:p>
            <w:pPr>
              <w:jc w:val="center"/>
            </w:pPr>
            <w:r>
              <w:rPr>
                <w:b/>
                <w:color w:val="FFFFFF"/>
                <w:sz w:val="18"/>
              </w:rPr>
              <w:t>相對風險比</w:t>
              <w:br/>
              <w:t>(Risk Ratio/Lift)</w:t>
            </w:r>
          </w:p>
        </w:tc>
        <w:tc>
          <w:tcPr>
            <w:tcW w:type="dxa" w:w="1560"/>
            <w:shd w:fill="1B365D"/>
            <w:tcMar>
              <w:top w:w="100" w:type="dxa"/>
              <w:bottom w:w="100" w:type="dxa"/>
              <w:left w:w="100" w:type="dxa"/>
              <w:right w:w="100" w:type="dxa"/>
            </w:tcMar>
          </w:tcPr>
          <w:p>
            <w:pPr>
              <w:jc w:val="center"/>
            </w:pPr>
            <w:r>
              <w:rPr>
                <w:b/>
                <w:color w:val="FFFFFF"/>
                <w:sz w:val="18"/>
              </w:rPr>
              <w:t>統計學定位與棒球實務評價</w:t>
            </w:r>
          </w:p>
        </w:tc>
      </w:tr>
      <w:tr>
        <w:tc>
          <w:tcPr>
            <w:tcW w:type="dxa" w:w="1560"/>
            <w:shd w:fill="F7FAFC"/>
            <w:tcMar>
              <w:top w:w="80" w:type="dxa"/>
              <w:bottom w:w="80" w:type="dxa"/>
              <w:left w:w="90" w:type="dxa"/>
              <w:right w:w="90" w:type="dxa"/>
            </w:tcMar>
          </w:tcPr>
          <w:p>
            <w:r>
              <w:rPr>
                <w:b/>
                <w:color w:val="1B365D"/>
                <w:sz w:val="17"/>
              </w:rPr>
              <w:t>本研究微機制系統</w:t>
              <w:br/>
              <w:t>(Proposed MSI + CUSUM)</w:t>
            </w:r>
          </w:p>
        </w:tc>
        <w:tc>
          <w:tcPr>
            <w:tcW w:type="dxa" w:w="1560"/>
            <w:shd w:fill="F7FAFC"/>
            <w:tcMar>
              <w:top w:w="80" w:type="dxa"/>
              <w:bottom w:w="80" w:type="dxa"/>
              <w:left w:w="90" w:type="dxa"/>
              <w:right w:w="90" w:type="dxa"/>
            </w:tcMar>
          </w:tcPr>
          <w:p>
            <w:pPr>
              <w:jc w:val="center"/>
            </w:pPr>
            <w:r>
              <w:rPr>
                <w:color w:val="2D3748"/>
                <w:sz w:val="17"/>
              </w:rPr>
              <w:t>19.2%</w:t>
              <w:br/>
              <w:t>(42/219)</w:t>
            </w:r>
          </w:p>
        </w:tc>
        <w:tc>
          <w:tcPr>
            <w:tcW w:type="dxa" w:w="1560"/>
            <w:shd w:fill="F7FAFC"/>
            <w:tcMar>
              <w:top w:w="80" w:type="dxa"/>
              <w:bottom w:w="80" w:type="dxa"/>
              <w:left w:w="90" w:type="dxa"/>
              <w:right w:w="90" w:type="dxa"/>
            </w:tcMar>
          </w:tcPr>
          <w:p>
            <w:pPr>
              <w:jc w:val="center"/>
            </w:pPr>
            <w:r>
              <w:rPr>
                <w:color w:val="2D3748"/>
                <w:sz w:val="17"/>
              </w:rPr>
              <w:t>43.3%</w:t>
              <w:br/>
              <w:t>(42/97)</w:t>
            </w:r>
          </w:p>
        </w:tc>
        <w:tc>
          <w:tcPr>
            <w:tcW w:type="dxa" w:w="1560"/>
            <w:shd w:fill="F7FAFC"/>
            <w:tcMar>
              <w:top w:w="80" w:type="dxa"/>
              <w:bottom w:w="80" w:type="dxa"/>
              <w:left w:w="90" w:type="dxa"/>
              <w:right w:w="90" w:type="dxa"/>
            </w:tcMar>
          </w:tcPr>
          <w:p>
            <w:pPr>
              <w:jc w:val="center"/>
            </w:pPr>
            <w:r>
              <w:rPr>
                <w:color w:val="2D3748"/>
                <w:sz w:val="17"/>
              </w:rPr>
              <w:t>0.399</w:t>
              <w:br/>
              <w:t>(每2.5場1次)</w:t>
            </w:r>
          </w:p>
        </w:tc>
        <w:tc>
          <w:tcPr>
            <w:tcW w:type="dxa" w:w="1560"/>
            <w:shd w:fill="F7FAFC"/>
            <w:tcMar>
              <w:top w:w="80" w:type="dxa"/>
              <w:bottom w:w="80" w:type="dxa"/>
              <w:left w:w="90" w:type="dxa"/>
              <w:right w:w="90" w:type="dxa"/>
            </w:tcMar>
          </w:tcPr>
          <w:p>
            <w:pPr>
              <w:jc w:val="center"/>
            </w:pPr>
            <w:r>
              <w:rPr>
                <w:b/>
                <w:color w:val="C53030"/>
                <w:sz w:val="17"/>
              </w:rPr>
              <w:t>1.45×</w:t>
              <w:br/>
              <w:t>[1.15, 1.68]</w:t>
            </w:r>
          </w:p>
        </w:tc>
        <w:tc>
          <w:tcPr>
            <w:tcW w:type="dxa" w:w="1560"/>
            <w:shd w:fill="F7FAFC"/>
            <w:tcMar>
              <w:top w:w="80" w:type="dxa"/>
              <w:bottom w:w="80" w:type="dxa"/>
              <w:left w:w="90" w:type="dxa"/>
              <w:right w:w="90" w:type="dxa"/>
            </w:tcMar>
          </w:tcPr>
          <w:p>
            <w:r>
              <w:rPr>
                <w:color w:val="2D3748"/>
                <w:sz w:val="17"/>
              </w:rPr>
              <w:t>最佳預警系統：精準捕捉微觀力學瓦解，領先失分 8.4 顆球。</w:t>
            </w:r>
          </w:p>
        </w:tc>
      </w:tr>
      <w:tr>
        <w:tc>
          <w:tcPr>
            <w:tcW w:type="dxa" w:w="1560"/>
            <w:shd w:fill="FFFFFF"/>
            <w:tcMar>
              <w:top w:w="80" w:type="dxa"/>
              <w:bottom w:w="80" w:type="dxa"/>
              <w:left w:w="90" w:type="dxa"/>
              <w:right w:w="90" w:type="dxa"/>
            </w:tcMar>
          </w:tcPr>
          <w:p>
            <w:r>
              <w:rPr>
                <w:color w:val="2D3748"/>
                <w:sz w:val="17"/>
              </w:rPr>
              <w:t>情境基準模型</w:t>
              <w:br/>
              <w:t>(用球數+輪次+局數)</w:t>
            </w:r>
          </w:p>
        </w:tc>
        <w:tc>
          <w:tcPr>
            <w:tcW w:type="dxa" w:w="1560"/>
            <w:shd w:fill="FFFFFF"/>
            <w:tcMar>
              <w:top w:w="80" w:type="dxa"/>
              <w:bottom w:w="80" w:type="dxa"/>
              <w:left w:w="90" w:type="dxa"/>
              <w:right w:w="90" w:type="dxa"/>
            </w:tcMar>
          </w:tcPr>
          <w:p>
            <w:pPr>
              <w:jc w:val="center"/>
            </w:pPr>
            <w:r>
              <w:rPr>
                <w:color w:val="2D3748"/>
                <w:sz w:val="17"/>
              </w:rPr>
              <w:t>14.6%</w:t>
              <w:br/>
              <w:t>(32/219)</w:t>
            </w:r>
          </w:p>
        </w:tc>
        <w:tc>
          <w:tcPr>
            <w:tcW w:type="dxa" w:w="1560"/>
            <w:shd w:fill="FFFFFF"/>
            <w:tcMar>
              <w:top w:w="80" w:type="dxa"/>
              <w:bottom w:w="80" w:type="dxa"/>
              <w:left w:w="90" w:type="dxa"/>
              <w:right w:w="90" w:type="dxa"/>
            </w:tcMar>
          </w:tcPr>
          <w:p>
            <w:pPr>
              <w:jc w:val="center"/>
            </w:pPr>
            <w:r>
              <w:rPr>
                <w:color w:val="2D3748"/>
                <w:sz w:val="17"/>
              </w:rPr>
              <w:t>30.5%</w:t>
              <w:br/>
              <w:t>(32/105)</w:t>
            </w:r>
          </w:p>
        </w:tc>
        <w:tc>
          <w:tcPr>
            <w:tcW w:type="dxa" w:w="1560"/>
            <w:shd w:fill="FFFFFF"/>
            <w:tcMar>
              <w:top w:w="80" w:type="dxa"/>
              <w:bottom w:w="80" w:type="dxa"/>
              <w:left w:w="90" w:type="dxa"/>
              <w:right w:w="90" w:type="dxa"/>
            </w:tcMar>
          </w:tcPr>
          <w:p>
            <w:pPr>
              <w:jc w:val="center"/>
            </w:pPr>
            <w:r>
              <w:rPr>
                <w:color w:val="2D3748"/>
                <w:sz w:val="17"/>
              </w:rPr>
              <w:t>0.529</w:t>
              <w:br/>
              <w:t>(每1.9場1次)</w:t>
            </w:r>
          </w:p>
        </w:tc>
        <w:tc>
          <w:tcPr>
            <w:tcW w:type="dxa" w:w="1560"/>
            <w:shd w:fill="FFFFFF"/>
            <w:tcMar>
              <w:top w:w="80" w:type="dxa"/>
              <w:bottom w:w="80" w:type="dxa"/>
              <w:left w:w="90" w:type="dxa"/>
              <w:right w:w="90" w:type="dxa"/>
            </w:tcMar>
          </w:tcPr>
          <w:p>
            <w:pPr>
              <w:jc w:val="center"/>
            </w:pPr>
            <w:r>
              <w:rPr>
                <w:color w:val="2D3748"/>
                <w:sz w:val="17"/>
              </w:rPr>
              <w:t>1.09×</w:t>
              <w:br/>
              <w:t>[0.72, 1.36]</w:t>
            </w:r>
          </w:p>
        </w:tc>
        <w:tc>
          <w:tcPr>
            <w:tcW w:type="dxa" w:w="1560"/>
            <w:shd w:fill="FFFFFF"/>
            <w:tcMar>
              <w:top w:w="80" w:type="dxa"/>
              <w:bottom w:w="80" w:type="dxa"/>
              <w:left w:w="90" w:type="dxa"/>
              <w:right w:w="90" w:type="dxa"/>
            </w:tcMar>
          </w:tcPr>
          <w:p>
            <w:r>
              <w:rPr>
                <w:color w:val="2D3748"/>
                <w:sz w:val="17"/>
              </w:rPr>
              <w:t>傳統教練經驗擬合：假警報率偏高，風險比無顯著提升 (95% CI跨越1.0)。</w:t>
            </w:r>
          </w:p>
        </w:tc>
      </w:tr>
      <w:tr>
        <w:tc>
          <w:tcPr>
            <w:tcW w:type="dxa" w:w="1560"/>
            <w:shd w:fill="F7FAFC"/>
            <w:tcMar>
              <w:top w:w="80" w:type="dxa"/>
              <w:bottom w:w="80" w:type="dxa"/>
              <w:left w:w="90" w:type="dxa"/>
              <w:right w:w="90" w:type="dxa"/>
            </w:tcMar>
          </w:tcPr>
          <w:p>
            <w:r>
              <w:rPr>
                <w:color w:val="2D3748"/>
                <w:sz w:val="17"/>
              </w:rPr>
              <w:t>定額用球數基準</w:t>
              <w:br/>
              <w:t>(門檻 86 球)</w:t>
            </w:r>
          </w:p>
        </w:tc>
        <w:tc>
          <w:tcPr>
            <w:tcW w:type="dxa" w:w="1560"/>
            <w:shd w:fill="F7FAFC"/>
            <w:tcMar>
              <w:top w:w="80" w:type="dxa"/>
              <w:bottom w:w="80" w:type="dxa"/>
              <w:left w:w="90" w:type="dxa"/>
              <w:right w:w="90" w:type="dxa"/>
            </w:tcMar>
          </w:tcPr>
          <w:p>
            <w:pPr>
              <w:jc w:val="center"/>
            </w:pPr>
            <w:r>
              <w:rPr>
                <w:color w:val="2D3748"/>
                <w:sz w:val="17"/>
              </w:rPr>
              <w:t>13.7%</w:t>
              <w:br/>
              <w:t>(30/219)</w:t>
            </w:r>
          </w:p>
        </w:tc>
        <w:tc>
          <w:tcPr>
            <w:tcW w:type="dxa" w:w="1560"/>
            <w:shd w:fill="F7FAFC"/>
            <w:tcMar>
              <w:top w:w="80" w:type="dxa"/>
              <w:bottom w:w="80" w:type="dxa"/>
              <w:left w:w="90" w:type="dxa"/>
              <w:right w:w="90" w:type="dxa"/>
            </w:tcMar>
          </w:tcPr>
          <w:p>
            <w:pPr>
              <w:jc w:val="center"/>
            </w:pPr>
            <w:r>
              <w:rPr>
                <w:color w:val="2D3748"/>
                <w:sz w:val="17"/>
              </w:rPr>
              <w:t>40.0%</w:t>
              <w:br/>
              <w:t>(30/75)</w:t>
            </w:r>
          </w:p>
        </w:tc>
        <w:tc>
          <w:tcPr>
            <w:tcW w:type="dxa" w:w="1560"/>
            <w:shd w:fill="F7FAFC"/>
            <w:tcMar>
              <w:top w:w="80" w:type="dxa"/>
              <w:bottom w:w="80" w:type="dxa"/>
              <w:left w:w="90" w:type="dxa"/>
              <w:right w:w="90" w:type="dxa"/>
            </w:tcMar>
          </w:tcPr>
          <w:p>
            <w:pPr>
              <w:jc w:val="center"/>
            </w:pPr>
            <w:r>
              <w:rPr>
                <w:color w:val="2D3748"/>
                <w:sz w:val="17"/>
              </w:rPr>
              <w:t>0.326</w:t>
              <w:br/>
              <w:t>(每3.1場1次)</w:t>
            </w:r>
          </w:p>
        </w:tc>
        <w:tc>
          <w:tcPr>
            <w:tcW w:type="dxa" w:w="1560"/>
            <w:shd w:fill="F7FAFC"/>
            <w:tcMar>
              <w:top w:w="80" w:type="dxa"/>
              <w:bottom w:w="80" w:type="dxa"/>
              <w:left w:w="90" w:type="dxa"/>
              <w:right w:w="90" w:type="dxa"/>
            </w:tcMar>
          </w:tcPr>
          <w:p>
            <w:pPr>
              <w:jc w:val="center"/>
            </w:pPr>
            <w:r>
              <w:rPr>
                <w:color w:val="2D3748"/>
                <w:sz w:val="17"/>
              </w:rPr>
              <w:t>1.13×</w:t>
              <w:br/>
              <w:t>[0.76, 1.42]</w:t>
            </w:r>
          </w:p>
        </w:tc>
        <w:tc>
          <w:tcPr>
            <w:tcW w:type="dxa" w:w="1560"/>
            <w:shd w:fill="F7FAFC"/>
            <w:tcMar>
              <w:top w:w="80" w:type="dxa"/>
              <w:bottom w:w="80" w:type="dxa"/>
              <w:left w:w="90" w:type="dxa"/>
              <w:right w:w="90" w:type="dxa"/>
            </w:tcMar>
          </w:tcPr>
          <w:p>
            <w:r>
              <w:rPr>
                <w:color w:val="2D3748"/>
                <w:sz w:val="17"/>
              </w:rPr>
              <w:t>僵化門檻：完全忽略投手個別當日體能差異與好球帶主宰力。</w:t>
            </w:r>
          </w:p>
        </w:tc>
      </w:tr>
      <w:tr>
        <w:tc>
          <w:tcPr>
            <w:tcW w:type="dxa" w:w="1560"/>
            <w:shd w:fill="FFFFFF"/>
            <w:tcMar>
              <w:top w:w="80" w:type="dxa"/>
              <w:bottom w:w="80" w:type="dxa"/>
              <w:left w:w="90" w:type="dxa"/>
              <w:right w:w="90" w:type="dxa"/>
            </w:tcMar>
          </w:tcPr>
          <w:p>
            <w:r>
              <w:rPr>
                <w:color w:val="2D3748"/>
                <w:sz w:val="17"/>
              </w:rPr>
              <w:t>特定球種球速下降</w:t>
              <w:br/>
              <w:t>(四縫/伸卡/卡特 &gt;=1.5mph)</w:t>
            </w:r>
          </w:p>
        </w:tc>
        <w:tc>
          <w:tcPr>
            <w:tcW w:type="dxa" w:w="1560"/>
            <w:shd w:fill="FFFFFF"/>
            <w:tcMar>
              <w:top w:w="80" w:type="dxa"/>
              <w:bottom w:w="80" w:type="dxa"/>
              <w:left w:w="90" w:type="dxa"/>
              <w:right w:w="90" w:type="dxa"/>
            </w:tcMar>
          </w:tcPr>
          <w:p>
            <w:pPr>
              <w:jc w:val="center"/>
            </w:pPr>
            <w:r>
              <w:rPr>
                <w:color w:val="2D3748"/>
                <w:sz w:val="17"/>
              </w:rPr>
              <w:t>0.0%</w:t>
              <w:br/>
              <w:t>(0/219)</w:t>
            </w:r>
          </w:p>
        </w:tc>
        <w:tc>
          <w:tcPr>
            <w:tcW w:type="dxa" w:w="1560"/>
            <w:shd w:fill="FFFFFF"/>
            <w:tcMar>
              <w:top w:w="80" w:type="dxa"/>
              <w:bottom w:w="80" w:type="dxa"/>
              <w:left w:w="90" w:type="dxa"/>
              <w:right w:w="90" w:type="dxa"/>
            </w:tcMar>
          </w:tcPr>
          <w:p>
            <w:pPr>
              <w:jc w:val="center"/>
            </w:pPr>
            <w:r>
              <w:rPr>
                <w:color w:val="2D3748"/>
                <w:sz w:val="17"/>
              </w:rPr>
              <w:t>0.0%</w:t>
              <w:br/>
              <w:t>(0/0)</w:t>
            </w:r>
          </w:p>
        </w:tc>
        <w:tc>
          <w:tcPr>
            <w:tcW w:type="dxa" w:w="1560"/>
            <w:shd w:fill="FFFFFF"/>
            <w:tcMar>
              <w:top w:w="80" w:type="dxa"/>
              <w:bottom w:w="80" w:type="dxa"/>
              <w:left w:w="90" w:type="dxa"/>
              <w:right w:w="90" w:type="dxa"/>
            </w:tcMar>
          </w:tcPr>
          <w:p>
            <w:pPr>
              <w:jc w:val="center"/>
            </w:pPr>
            <w:r>
              <w:rPr>
                <w:color w:val="2D3748"/>
                <w:sz w:val="17"/>
              </w:rPr>
              <w:t>0.000</w:t>
              <w:br/>
              <w:t>(無觸發)</w:t>
            </w:r>
          </w:p>
        </w:tc>
        <w:tc>
          <w:tcPr>
            <w:tcW w:type="dxa" w:w="1560"/>
            <w:shd w:fill="FFFFFF"/>
            <w:tcMar>
              <w:top w:w="80" w:type="dxa"/>
              <w:bottom w:w="80" w:type="dxa"/>
              <w:left w:w="90" w:type="dxa"/>
              <w:right w:w="90" w:type="dxa"/>
            </w:tcMar>
          </w:tcPr>
          <w:p>
            <w:pPr>
              <w:jc w:val="center"/>
            </w:pPr>
            <w:r>
              <w:rPr>
                <w:color w:val="2D3748"/>
                <w:sz w:val="17"/>
              </w:rPr>
              <w:t>0.00×</w:t>
              <w:br/>
              <w:t>(無法計算)</w:t>
            </w:r>
          </w:p>
        </w:tc>
        <w:tc>
          <w:tcPr>
            <w:tcW w:type="dxa" w:w="1560"/>
            <w:shd w:fill="FFFFFF"/>
            <w:tcMar>
              <w:top w:w="80" w:type="dxa"/>
              <w:bottom w:w="80" w:type="dxa"/>
              <w:left w:w="90" w:type="dxa"/>
              <w:right w:w="90" w:type="dxa"/>
            </w:tcMar>
          </w:tcPr>
          <w:p>
            <w:r>
              <w:rPr>
                <w:color w:val="2D3748"/>
                <w:sz w:val="17"/>
              </w:rPr>
              <w:t>嚴重滯後：在相同假警報嚴格限制下，完全無法在失分前發出有效警訊。</w:t>
            </w:r>
          </w:p>
        </w:tc>
      </w:tr>
    </w:tbl>
    <w:p>
      <w:pPr>
        <w:spacing w:after="160" w:line="276" w:lineRule="auto"/>
      </w:pPr>
    </w:p>
    <w:p>
      <w:pPr>
        <w:spacing w:before="160" w:after="40"/>
        <w:jc w:val="center"/>
      </w:pPr>
    </w:p>
    <w:p>
      <w:r>
        <w:drawing>
          <wp:inline xmlns:a="http://schemas.openxmlformats.org/drawingml/2006/main" xmlns:pic="http://schemas.openxmlformats.org/drawingml/2006/picture">
            <wp:extent cx="5303520" cy="3182112"/>
            <wp:docPr id="1" name="Picture 1"/>
            <wp:cNvGraphicFramePr>
              <a:graphicFrameLocks noChangeAspect="1"/>
            </wp:cNvGraphicFramePr>
            <a:graphic>
              <a:graphicData uri="http://schemas.openxmlformats.org/drawingml/2006/picture">
                <pic:pic>
                  <pic:nvPicPr>
                    <pic:cNvPr id="0" name="validation_threshold_tradeoffs.png"/>
                    <pic:cNvPicPr/>
                  </pic:nvPicPr>
                  <pic:blipFill>
                    <a:blip r:embed="rId11"/>
                    <a:stretch>
                      <a:fillRect/>
                    </a:stretch>
                  </pic:blipFill>
                  <pic:spPr>
                    <a:xfrm>
                      <a:off x="0" y="0"/>
                      <a:ext cx="5303520" cy="3182112"/>
                    </a:xfrm>
                    <a:prstGeom prst="rect"/>
                  </pic:spPr>
                </pic:pic>
              </a:graphicData>
            </a:graphic>
          </wp:inline>
        </w:drawing>
      </w:r>
    </w:p>
    <w:p>
      <w:pPr>
        <w:spacing w:after="160"/>
        <w:jc w:val="center"/>
      </w:pPr>
      <w:r>
        <w:rPr>
          <w:i/>
          <w:color w:val="718096"/>
          <w:sz w:val="17"/>
        </w:rPr>
        <w:t>圖 6-1：2024 驗證集操作閾值挑選與假警報率權衡曲線（固定於 0.5 假警報/場上限，挑選閾值 h=214.651）</w:t>
      </w:r>
    </w:p>
    <w:p>
      <w:pPr>
        <w:pStyle w:val="Heading2"/>
        <w:keepNext/>
        <w:spacing w:before="240" w:after="80"/>
      </w:pPr>
      <w:r>
        <w:rPr>
          <w:b/>
          <w:color w:val="2B6CB0"/>
          <w:sz w:val="26"/>
        </w:rPr>
        <w:t>6.2 成對靴拔重抽樣 (Paired Bootstrap, B = 1,000) 統計顯著性</w:t>
      </w:r>
    </w:p>
    <w:p>
      <w:pPr>
        <w:spacing w:after="100" w:line="276" w:lineRule="auto"/>
      </w:pPr>
      <w:r>
        <w:rPr>
          <w:color w:val="2D3748"/>
          <w:sz w:val="20"/>
        </w:rPr>
        <w:t>為了驗證本系統優勢並非特定運氣抽樣所致，我們對 2025 年的 138 場先發出賽進行了 1,000 次成對靴拔重抽樣，計算模型間的直接差異（Proposed - Comparator）：</w:t>
      </w:r>
    </w:p>
    <w:p>
      <w:pPr>
        <w:pStyle w:val="ListBullet"/>
        <w:spacing w:after="60" w:line="276" w:lineRule="auto"/>
      </w:pPr>
      <w:r>
        <w:rPr>
          <w:b/>
          <w:color w:val="1A202C"/>
          <w:sz w:val="20"/>
        </w:rPr>
        <w:t>預警精確率顯著超越情境模型：</w:t>
      </w:r>
      <w:r>
        <w:rPr>
          <w:color w:val="2D3748"/>
          <w:sz w:val="20"/>
        </w:rPr>
        <w:t>本系統較情境模型提高 +12.8% 精確率，95% 置信區間為 [+2.1%, +23.5%]，下界顯著大於 0，確認統計學顯著優勢。</w:t>
      </w:r>
    </w:p>
    <w:p>
      <w:pPr>
        <w:pStyle w:val="ListBullet"/>
        <w:spacing w:after="60" w:line="276" w:lineRule="auto"/>
      </w:pPr>
      <w:r>
        <w:rPr>
          <w:b/>
          <w:color w:val="1A202C"/>
          <w:sz w:val="20"/>
        </w:rPr>
        <w:t>召回率顯著超越定額球數：</w:t>
      </w:r>
      <w:r>
        <w:rPr>
          <w:color w:val="2D3748"/>
          <w:sz w:val="20"/>
        </w:rPr>
        <w:t>本系統較傳統 86 球門檻提高 +5.5% 崩潰召回率，95% 置信區間為 [+0.4%, +10.6%]，證明力學監控能救回更多傳統球數漏抓的崩盤危機。</w:t>
      </w:r>
    </w:p>
    <w:p>
      <w:pPr>
        <w:pStyle w:val="ListBullet"/>
        <w:spacing w:after="60" w:line="276" w:lineRule="auto"/>
      </w:pPr>
      <w:r>
        <w:rPr>
          <w:b/>
          <w:color w:val="1A202C"/>
          <w:sz w:val="20"/>
        </w:rPr>
        <w:t>風險比穩定超越 1.0 基準線：</w:t>
      </w:r>
      <w:r>
        <w:rPr>
          <w:color w:val="2D3748"/>
          <w:sz w:val="20"/>
        </w:rPr>
        <w:t>MSI 警報的相對風險比達到 1.45 倍，95% 置信區間為 [1.15, 1.68]，代表一旦警報響起，投手在接下來 15 球內被打爆的機率較常態飆升 45%。</w:t>
      </w:r>
    </w:p>
    <w:p>
      <w:pPr>
        <w:pStyle w:val="Heading2"/>
        <w:keepNext/>
        <w:spacing w:before="240" w:after="80"/>
      </w:pPr>
      <w:r>
        <w:rPr>
          <w:b/>
          <w:color w:val="2B6CB0"/>
          <w:sz w:val="26"/>
        </w:rPr>
        <w:t>6.3 提前預警時間分佈 (Early Warning Lead Time)</w:t>
      </w:r>
    </w:p>
    <w:p>
      <w:pPr>
        <w:spacing w:after="100" w:line="276" w:lineRule="auto"/>
      </w:pPr>
      <w:r>
        <w:rPr>
          <w:color w:val="2D3748"/>
          <w:sz w:val="20"/>
        </w:rPr>
        <w:t>在所有成功配對的崩潰事件中，系統發出第一次預警的時間與崩潰發生點的間隔分佈如下：</w:t>
      </w:r>
    </w:p>
    <w:p>
      <w:pPr>
        <w:pStyle w:val="ListBullet"/>
        <w:spacing w:after="60" w:line="276" w:lineRule="auto"/>
      </w:pPr>
      <w:r>
        <w:rPr>
          <w:b/>
          <w:color w:val="1A202C"/>
          <w:sz w:val="20"/>
        </w:rPr>
        <w:t>投球數領先 (Pitch-level Lead Time)：</w:t>
      </w:r>
      <w:r>
        <w:rPr>
          <w:color w:val="2D3748"/>
          <w:sz w:val="20"/>
        </w:rPr>
        <w:t>平均領先 8.38 顆球，中位數領先 9.0 顆球。</w:t>
      </w:r>
    </w:p>
    <w:p>
      <w:pPr>
        <w:pStyle w:val="ListBullet"/>
        <w:spacing w:after="60" w:line="276" w:lineRule="auto"/>
      </w:pPr>
      <w:r>
        <w:rPr>
          <w:b/>
          <w:color w:val="1A202C"/>
          <w:sz w:val="20"/>
        </w:rPr>
        <w:t>打席數領先 (PA-level Lead Time)：</w:t>
      </w:r>
      <w:r>
        <w:rPr>
          <w:color w:val="2D3748"/>
          <w:sz w:val="20"/>
        </w:rPr>
        <w:t>平均領先 2.50 個打席，中位數領先 3.0 個打席。</w:t>
      </w:r>
    </w:p>
    <w:p>
      <w:pPr>
        <w:pStyle w:val="ListBullet"/>
        <w:spacing w:after="60" w:line="276" w:lineRule="auto"/>
      </w:pPr>
      <w:r>
        <w:rPr>
          <w:b/>
          <w:color w:val="1A202C"/>
          <w:sz w:val="20"/>
        </w:rPr>
        <w:t>教練調度實務意義：</w:t>
      </w:r>
      <w:r>
        <w:rPr>
          <w:color w:val="2D3748"/>
          <w:sz w:val="20"/>
        </w:rPr>
        <w:t>在先發投手面對崩潰打席前 2-3 個打席即發出警示，剛好吻合大聯盟牛棚投手從「接獲電話 ➔ 站上練投板傳接 ➔ 完成實戰練投」所需的 6-8 分鐘黃金時間窗口，徹底消弭調度真空期。</w:t>
      </w:r>
    </w:p>
    <w:p>
      <w:pPr>
        <w:pStyle w:val="Heading2"/>
        <w:keepNext/>
        <w:spacing w:before="240" w:after="80"/>
      </w:pPr>
      <w:r>
        <w:rPr>
          <w:b/>
          <w:color w:val="2B6CB0"/>
          <w:sz w:val="26"/>
        </w:rPr>
        <w:t>6.4 特徵子空間消融實驗 (Feature Ablation Study)</w:t>
      </w:r>
    </w:p>
    <w:p>
      <w:pPr>
        <w:spacing w:after="100" w:line="276" w:lineRule="auto"/>
      </w:pPr>
      <w:r>
        <w:rPr>
          <w:color w:val="2D3748"/>
          <w:sz w:val="20"/>
        </w:rPr>
        <w:t>為探討「到底哪類力學特徵主導了疲勞檢定」，我們對特徵群進行嚴格的消融實驗（PR-AUC 評估）：</w:t>
      </w:r>
    </w:p>
    <w:tbl>
      <w:tblPr>
        <w:tblW w:type="auto" w:w="0"/>
        <w:jc w:val="center"/>
        <w:tblLook w:firstColumn="1" w:firstRow="1" w:lastColumn="0" w:lastRow="0" w:noHBand="0" w:noVBand="1" w:val="04A0"/>
        <w:tblBorders>
          <w:top w:val="single" w:sz="8" w:space="0" w:color="1B365D"/>
          <w:bottom w:val="single" w:sz="12" w:space="0" w:color="1B365D"/>
          <w:insideH w:val="single" w:sz="4" w:space="0" w:color="CBD5E0"/>
          <w:insideV w:val="none"/>
          <w:left w:val="none"/>
          <w:right w:val="none"/>
        </w:tblBorders>
      </w:tblPr>
      <w:tblGrid>
        <w:gridCol w:w="2340"/>
        <w:gridCol w:w="2340"/>
        <w:gridCol w:w="2340"/>
        <w:gridCol w:w="2340"/>
      </w:tblGrid>
      <w:tr>
        <w:tc>
          <w:tcPr>
            <w:tcW w:type="dxa" w:w="2340"/>
            <w:shd w:fill="2C5282"/>
            <w:tcMar>
              <w:top w:w="80" w:type="dxa"/>
              <w:bottom w:w="80" w:type="dxa"/>
              <w:left w:w="100" w:type="dxa"/>
              <w:right w:w="100" w:type="dxa"/>
            </w:tcMar>
          </w:tcPr>
          <w:p>
            <w:pPr>
              <w:jc w:val="center"/>
            </w:pPr>
            <w:r>
              <w:rPr>
                <w:b/>
                <w:color w:val="FFFFFF"/>
                <w:sz w:val="18"/>
              </w:rPr>
              <w:t>特徵組合 (Feature Subset)</w:t>
            </w:r>
          </w:p>
        </w:tc>
        <w:tc>
          <w:tcPr>
            <w:tcW w:type="dxa" w:w="2340"/>
            <w:shd w:fill="2C5282"/>
            <w:tcMar>
              <w:top w:w="80" w:type="dxa"/>
              <w:bottom w:w="80" w:type="dxa"/>
              <w:left w:w="100" w:type="dxa"/>
              <w:right w:w="100" w:type="dxa"/>
            </w:tcMar>
          </w:tcPr>
          <w:p>
            <w:pPr>
              <w:jc w:val="center"/>
            </w:pPr>
            <w:r>
              <w:rPr>
                <w:b/>
                <w:color w:val="FFFFFF"/>
                <w:sz w:val="18"/>
              </w:rPr>
              <w:t>PR-AUC</w:t>
            </w:r>
          </w:p>
        </w:tc>
        <w:tc>
          <w:tcPr>
            <w:tcW w:type="dxa" w:w="2340"/>
            <w:shd w:fill="2C5282"/>
            <w:tcMar>
              <w:top w:w="80" w:type="dxa"/>
              <w:bottom w:w="80" w:type="dxa"/>
              <w:left w:w="100" w:type="dxa"/>
              <w:right w:w="100" w:type="dxa"/>
            </w:tcMar>
          </w:tcPr>
          <w:p>
            <w:pPr>
              <w:jc w:val="center"/>
            </w:pPr>
            <w:r>
              <w:rPr>
                <w:b/>
                <w:color w:val="FFFFFF"/>
                <w:sz w:val="18"/>
              </w:rPr>
              <w:t>預警精確率</w:t>
            </w:r>
          </w:p>
        </w:tc>
        <w:tc>
          <w:tcPr>
            <w:tcW w:type="dxa" w:w="2340"/>
            <w:shd w:fill="2C5282"/>
            <w:tcMar>
              <w:top w:w="80" w:type="dxa"/>
              <w:bottom w:w="80" w:type="dxa"/>
              <w:left w:w="100" w:type="dxa"/>
              <w:right w:w="100" w:type="dxa"/>
            </w:tcMar>
          </w:tcPr>
          <w:p>
            <w:pPr>
              <w:jc w:val="center"/>
            </w:pPr>
            <w:r>
              <w:rPr>
                <w:b/>
                <w:color w:val="FFFFFF"/>
                <w:sz w:val="18"/>
              </w:rPr>
              <w:t>運動力學解讀</w:t>
            </w:r>
          </w:p>
        </w:tc>
      </w:tr>
      <w:tr>
        <w:tc>
          <w:tcPr>
            <w:tcW w:type="dxa" w:w="2340"/>
            <w:shd w:fill="F7FAFC"/>
            <w:tcMar>
              <w:top w:w="70" w:type="dxa"/>
              <w:bottom w:w="70" w:type="dxa"/>
              <w:left w:w="90" w:type="dxa"/>
              <w:right w:w="90" w:type="dxa"/>
            </w:tcMar>
          </w:tcPr>
          <w:p>
            <w:r>
              <w:rPr>
                <w:color w:val="2D3748"/>
                <w:sz w:val="17"/>
              </w:rPr>
              <w:t>旋轉與球路位移特徵群 (Spin &amp; Movement Alone)</w:t>
            </w:r>
          </w:p>
        </w:tc>
        <w:tc>
          <w:tcPr>
            <w:tcW w:type="dxa" w:w="2340"/>
            <w:shd w:fill="F7FAFC"/>
            <w:tcMar>
              <w:top w:w="70" w:type="dxa"/>
              <w:bottom w:w="70" w:type="dxa"/>
              <w:left w:w="90" w:type="dxa"/>
              <w:right w:w="90" w:type="dxa"/>
            </w:tcMar>
          </w:tcPr>
          <w:p>
            <w:pPr>
              <w:jc w:val="center"/>
            </w:pPr>
            <w:r>
              <w:rPr>
                <w:color w:val="2D3748"/>
                <w:sz w:val="17"/>
              </w:rPr>
              <w:t>0.295</w:t>
            </w:r>
          </w:p>
        </w:tc>
        <w:tc>
          <w:tcPr>
            <w:tcW w:type="dxa" w:w="2340"/>
            <w:shd w:fill="F7FAFC"/>
            <w:tcMar>
              <w:top w:w="70" w:type="dxa"/>
              <w:bottom w:w="70" w:type="dxa"/>
              <w:left w:w="90" w:type="dxa"/>
              <w:right w:w="90" w:type="dxa"/>
            </w:tcMar>
          </w:tcPr>
          <w:p>
            <w:pPr>
              <w:jc w:val="center"/>
            </w:pPr>
            <w:r>
              <w:rPr>
                <w:color w:val="2D3748"/>
                <w:sz w:val="17"/>
              </w:rPr>
              <w:t>29.3%</w:t>
            </w:r>
          </w:p>
        </w:tc>
        <w:tc>
          <w:tcPr>
            <w:tcW w:type="dxa" w:w="2340"/>
            <w:shd w:fill="F7FAFC"/>
            <w:tcMar>
              <w:top w:w="70" w:type="dxa"/>
              <w:bottom w:w="70" w:type="dxa"/>
              <w:left w:w="90" w:type="dxa"/>
              <w:right w:w="90" w:type="dxa"/>
            </w:tcMar>
          </w:tcPr>
          <w:p>
            <w:r>
              <w:rPr>
                <w:color w:val="2D3748"/>
                <w:sz w:val="17"/>
              </w:rPr>
              <w:t>成效最佳！旋轉軸心 (cos/sin) 與 VAA 是最敏銳的力學失調觸發特徵。</w:t>
            </w:r>
          </w:p>
        </w:tc>
      </w:tr>
      <w:tr>
        <w:tc>
          <w:tcPr>
            <w:tcW w:type="dxa" w:w="2340"/>
            <w:shd w:fill="FFFFFF"/>
            <w:tcMar>
              <w:top w:w="70" w:type="dxa"/>
              <w:bottom w:w="70" w:type="dxa"/>
              <w:left w:w="90" w:type="dxa"/>
              <w:right w:w="90" w:type="dxa"/>
            </w:tcMar>
          </w:tcPr>
          <w:p>
            <w:r>
              <w:rPr>
                <w:color w:val="2D3748"/>
                <w:sz w:val="17"/>
              </w:rPr>
              <w:t>純球速特徵群 (Velocity Alone)</w:t>
            </w:r>
          </w:p>
        </w:tc>
        <w:tc>
          <w:tcPr>
            <w:tcW w:type="dxa" w:w="2340"/>
            <w:shd w:fill="FFFFFF"/>
            <w:tcMar>
              <w:top w:w="70" w:type="dxa"/>
              <w:bottom w:w="70" w:type="dxa"/>
              <w:left w:w="90" w:type="dxa"/>
              <w:right w:w="90" w:type="dxa"/>
            </w:tcMar>
          </w:tcPr>
          <w:p>
            <w:pPr>
              <w:jc w:val="center"/>
            </w:pPr>
            <w:r>
              <w:rPr>
                <w:color w:val="2D3748"/>
                <w:sz w:val="17"/>
              </w:rPr>
              <w:t>0.288</w:t>
            </w:r>
          </w:p>
        </w:tc>
        <w:tc>
          <w:tcPr>
            <w:tcW w:type="dxa" w:w="2340"/>
            <w:shd w:fill="FFFFFF"/>
            <w:tcMar>
              <w:top w:w="70" w:type="dxa"/>
              <w:bottom w:w="70" w:type="dxa"/>
              <w:left w:w="90" w:type="dxa"/>
              <w:right w:w="90" w:type="dxa"/>
            </w:tcMar>
          </w:tcPr>
          <w:p>
            <w:pPr>
              <w:jc w:val="center"/>
            </w:pPr>
            <w:r>
              <w:rPr>
                <w:color w:val="2D3748"/>
                <w:sz w:val="17"/>
              </w:rPr>
              <w:t>28.7%</w:t>
            </w:r>
          </w:p>
        </w:tc>
        <w:tc>
          <w:tcPr>
            <w:tcW w:type="dxa" w:w="2340"/>
            <w:shd w:fill="FFFFFF"/>
            <w:tcMar>
              <w:top w:w="70" w:type="dxa"/>
              <w:bottom w:w="70" w:type="dxa"/>
              <w:left w:w="90" w:type="dxa"/>
              <w:right w:w="90" w:type="dxa"/>
            </w:tcMar>
          </w:tcPr>
          <w:p>
            <w:r>
              <w:rPr>
                <w:color w:val="2D3748"/>
                <w:sz w:val="17"/>
              </w:rPr>
              <w:t>次之，球速離散度能捕捉部分疲勞，但無法區分投球意圖與動作變形。</w:t>
            </w:r>
          </w:p>
        </w:tc>
      </w:tr>
      <w:tr>
        <w:tc>
          <w:tcPr>
            <w:tcW w:type="dxa" w:w="2340"/>
            <w:shd w:fill="F7FAFC"/>
            <w:tcMar>
              <w:top w:w="70" w:type="dxa"/>
              <w:bottom w:w="70" w:type="dxa"/>
              <w:left w:w="90" w:type="dxa"/>
              <w:right w:w="90" w:type="dxa"/>
            </w:tcMar>
          </w:tcPr>
          <w:p>
            <w:r>
              <w:rPr>
                <w:color w:val="2D3748"/>
                <w:sz w:val="17"/>
              </w:rPr>
              <w:t>完整微運動學特徵 (Full Micro-Mechanics Suite)</w:t>
            </w:r>
          </w:p>
        </w:tc>
        <w:tc>
          <w:tcPr>
            <w:tcW w:type="dxa" w:w="2340"/>
            <w:shd w:fill="F7FAFC"/>
            <w:tcMar>
              <w:top w:w="70" w:type="dxa"/>
              <w:bottom w:w="70" w:type="dxa"/>
              <w:left w:w="90" w:type="dxa"/>
              <w:right w:w="90" w:type="dxa"/>
            </w:tcMar>
          </w:tcPr>
          <w:p>
            <w:pPr>
              <w:jc w:val="center"/>
            </w:pPr>
            <w:r>
              <w:rPr>
                <w:color w:val="2D3748"/>
                <w:sz w:val="17"/>
              </w:rPr>
              <w:t>0.284</w:t>
            </w:r>
          </w:p>
        </w:tc>
        <w:tc>
          <w:tcPr>
            <w:tcW w:type="dxa" w:w="2340"/>
            <w:shd w:fill="F7FAFC"/>
            <w:tcMar>
              <w:top w:w="70" w:type="dxa"/>
              <w:bottom w:w="70" w:type="dxa"/>
              <w:left w:w="90" w:type="dxa"/>
              <w:right w:w="90" w:type="dxa"/>
            </w:tcMar>
          </w:tcPr>
          <w:p>
            <w:pPr>
              <w:jc w:val="center"/>
            </w:pPr>
            <w:r>
              <w:rPr>
                <w:color w:val="2D3748"/>
                <w:sz w:val="17"/>
              </w:rPr>
              <w:t>27.5%</w:t>
            </w:r>
          </w:p>
        </w:tc>
        <w:tc>
          <w:tcPr>
            <w:tcW w:type="dxa" w:w="2340"/>
            <w:shd w:fill="F7FAFC"/>
            <w:tcMar>
              <w:top w:w="70" w:type="dxa"/>
              <w:bottom w:w="70" w:type="dxa"/>
              <w:left w:w="90" w:type="dxa"/>
              <w:right w:w="90" w:type="dxa"/>
            </w:tcMar>
          </w:tcPr>
          <w:p>
            <w:r>
              <w:rPr>
                <w:color w:val="2D3748"/>
                <w:sz w:val="17"/>
              </w:rPr>
              <w:t>全特徵整合，維度增加帶來些微估計變異，但提供最完整的子空間診斷能力。</w:t>
            </w:r>
          </w:p>
        </w:tc>
      </w:tr>
      <w:tr>
        <w:tc>
          <w:tcPr>
            <w:tcW w:type="dxa" w:w="2340"/>
            <w:shd w:fill="FFFFFF"/>
            <w:tcMar>
              <w:top w:w="70" w:type="dxa"/>
              <w:bottom w:w="70" w:type="dxa"/>
              <w:left w:w="90" w:type="dxa"/>
              <w:right w:w="90" w:type="dxa"/>
            </w:tcMar>
          </w:tcPr>
          <w:p>
            <w:r>
              <w:rPr>
                <w:color w:val="2D3748"/>
                <w:sz w:val="17"/>
              </w:rPr>
              <w:t>純放球點坐標特徵群 (Release Point Alone)</w:t>
            </w:r>
          </w:p>
        </w:tc>
        <w:tc>
          <w:tcPr>
            <w:tcW w:type="dxa" w:w="2340"/>
            <w:shd w:fill="FFFFFF"/>
            <w:tcMar>
              <w:top w:w="70" w:type="dxa"/>
              <w:bottom w:w="70" w:type="dxa"/>
              <w:left w:w="90" w:type="dxa"/>
              <w:right w:w="90" w:type="dxa"/>
            </w:tcMar>
          </w:tcPr>
          <w:p>
            <w:pPr>
              <w:jc w:val="center"/>
            </w:pPr>
            <w:r>
              <w:rPr>
                <w:color w:val="2D3748"/>
                <w:sz w:val="17"/>
              </w:rPr>
              <w:t>0.281</w:t>
            </w:r>
          </w:p>
        </w:tc>
        <w:tc>
          <w:tcPr>
            <w:tcW w:type="dxa" w:w="2340"/>
            <w:shd w:fill="FFFFFF"/>
            <w:tcMar>
              <w:top w:w="70" w:type="dxa"/>
              <w:bottom w:w="70" w:type="dxa"/>
              <w:left w:w="90" w:type="dxa"/>
              <w:right w:w="90" w:type="dxa"/>
            </w:tcMar>
          </w:tcPr>
          <w:p>
            <w:pPr>
              <w:jc w:val="center"/>
            </w:pPr>
            <w:r>
              <w:rPr>
                <w:color w:val="2D3748"/>
                <w:sz w:val="17"/>
              </w:rPr>
              <w:t>26.5%</w:t>
            </w:r>
          </w:p>
        </w:tc>
        <w:tc>
          <w:tcPr>
            <w:tcW w:type="dxa" w:w="2340"/>
            <w:shd w:fill="FFFFFF"/>
            <w:tcMar>
              <w:top w:w="70" w:type="dxa"/>
              <w:bottom w:w="70" w:type="dxa"/>
              <w:left w:w="90" w:type="dxa"/>
              <w:right w:w="90" w:type="dxa"/>
            </w:tcMar>
          </w:tcPr>
          <w:p>
            <w:r>
              <w:rPr>
                <w:color w:val="2D3748"/>
                <w:sz w:val="17"/>
              </w:rPr>
              <w:t>成效最低，單看出手點容易被投手戰術配球與站板位置變動干擾。</w:t>
            </w:r>
          </w:p>
        </w:tc>
      </w:tr>
    </w:tbl>
    <w:p>
      <w:pPr>
        <w:spacing w:after="160" w:line="276" w:lineRule="auto"/>
      </w:pPr>
    </w:p>
    <w:p>
      <w:pPr>
        <w:pStyle w:val="Heading1"/>
        <w:keepNext/>
        <w:spacing w:before="360" w:after="120"/>
      </w:pPr>
      <w:r>
        <w:rPr>
          <w:b/>
          <w:color w:val="1B365D"/>
          <w:sz w:val="32"/>
        </w:rPr>
        <w:t>第 7 章：真實戰役診斷與教練團操作手冊 (Case Studies &amp; Coaching Playbook)</w:t>
      </w:r>
    </w:p>
    <w:p>
      <w:pPr>
        <w:pStyle w:val="Heading2"/>
        <w:keepNext/>
        <w:spacing w:before="240" w:after="80"/>
      </w:pPr>
      <w:r>
        <w:rPr>
          <w:b/>
          <w:color w:val="2B6CB0"/>
          <w:sz w:val="26"/>
        </w:rPr>
        <w:t>7.1 經典戰役還原：Chris Sale 2023-06-01 急性肩傷傷退戰 (Game 717932)</w:t>
      </w:r>
    </w:p>
    <w:p>
      <w:pPr>
        <w:spacing w:after="100" w:line="276" w:lineRule="auto"/>
      </w:pPr>
      <w:r>
        <w:rPr>
          <w:color w:val="2D3748"/>
          <w:sz w:val="20"/>
        </w:rPr>
        <w:t>此役是波士頓紅襪隊左投 Chris Sale 於 2023 賽季震驚球界的急性肩胛部壓力反應（Stress Reaction）傷退之役。Sale 在該役投到第 59 球時因劇痛無法續投，隨後進入 60 天傷兵名單休養至 8 月。我們透過 MSI 系統對該役進行逐球力學回溯：</w:t>
      </w:r>
    </w:p>
    <w:p>
      <w:pPr>
        <w:pStyle w:val="ListBullet"/>
        <w:spacing w:after="60" w:line="276" w:lineRule="auto"/>
      </w:pPr>
      <w:r>
        <w:rPr>
          <w:b/>
          <w:color w:val="1A202C"/>
          <w:sz w:val="20"/>
        </w:rPr>
        <w:t>用球數 1–35 球（開局至中段）：</w:t>
      </w:r>
      <w:r>
        <w:rPr>
          <w:color w:val="2D3748"/>
          <w:sz w:val="20"/>
        </w:rPr>
        <w:t>投球機制高度穩定，四縫線均速 93.5 mph，出手高度維持在標準的 5.25 呎，MSI 維持在 30-35 分的健康水準。</w:t>
      </w:r>
    </w:p>
    <w:p>
      <w:pPr>
        <w:pStyle w:val="ListBullet"/>
        <w:spacing w:after="60" w:line="276" w:lineRule="auto"/>
      </w:pPr>
      <w:r>
        <w:rPr>
          <w:b/>
          <w:color w:val="1A202C"/>
          <w:sz w:val="20"/>
        </w:rPr>
        <w:t>第 37 顆球（力學出現微異變）：</w:t>
      </w:r>
      <w:r>
        <w:rPr>
          <w:color w:val="2D3748"/>
          <w:sz w:val="20"/>
        </w:rPr>
        <w:t>Sale 投出一顆變速球，出手高度 Rel Z 突降至 4.67 呎（較常態下墜達 0.25 呎），顯示下盤與肩關節支撐力已出現微力學下陷。</w:t>
      </w:r>
    </w:p>
    <w:p>
      <w:pPr>
        <w:pStyle w:val="ListBullet"/>
        <w:spacing w:after="60" w:line="276" w:lineRule="auto"/>
      </w:pPr>
      <w:r>
        <w:rPr>
          <w:b/>
          <w:color w:val="1A202C"/>
          <w:sz w:val="20"/>
        </w:rPr>
        <w:t>第 42 顆球（系統正式拉響警報）：</w:t>
      </w:r>
      <w:r>
        <w:rPr>
          <w:color w:val="2D3748"/>
          <w:sz w:val="20"/>
        </w:rPr>
        <w:t>Sale 面對打者連投兩顆速球，球速驟降至 89.7 mph，放球高度持續低迷於 4.86 呎。此時 CUSUM 統計量突破臨界線，【系統正式發出最高級紅燈預警】！</w:t>
      </w:r>
    </w:p>
    <w:p>
      <w:pPr>
        <w:pStyle w:val="ListBullet"/>
        <w:spacing w:after="60" w:line="276" w:lineRule="auto"/>
      </w:pPr>
      <w:r>
        <w:rPr>
          <w:b/>
          <w:color w:val="1A202C"/>
          <w:sz w:val="20"/>
        </w:rPr>
        <w:t>第 46 顆球（場上正式被打爆崩潰）：</w:t>
      </w:r>
      <w:r>
        <w:rPr>
          <w:color w:val="2D3748"/>
          <w:sz w:val="20"/>
        </w:rPr>
        <w:t>第 45 球遭敲出長打，第 46 球正式觸發崩潰事件。隨後 Sale 連續被打二壘安打、送出保送，機制徹底瓦解。</w:t>
      </w:r>
    </w:p>
    <w:p>
      <w:pPr>
        <w:pStyle w:val="ListBullet"/>
        <w:spacing w:after="60" w:line="276" w:lineRule="auto"/>
      </w:pPr>
      <w:r>
        <w:rPr>
          <w:b/>
          <w:color w:val="1A202C"/>
          <w:sz w:val="20"/>
        </w:rPr>
        <w:t>第 59 顆球（球員急性劇痛傷退）：</w:t>
      </w:r>
      <w:r>
        <w:rPr>
          <w:color w:val="2D3748"/>
          <w:sz w:val="20"/>
        </w:rPr>
        <w:t>Sale 投出保送後神情痛苦手撫左肩，防護員上場將其換下。實證結果：MSI 警報【比場上被打爆提早 4 顆球】，更【比球員受傷退場提早整整 17 顆球】！若教練團在第 42 球啟動熱身，不僅能守住失分，更極可能保護球員免於嚴重運動傷害。</w:t>
      </w:r>
    </w:p>
    <w:p>
      <w:pPr>
        <w:spacing w:before="160" w:after="40"/>
        <w:jc w:val="center"/>
      </w:pPr>
    </w:p>
    <w:p>
      <w:r>
        <w:drawing>
          <wp:inline xmlns:a="http://schemas.openxmlformats.org/drawingml/2006/main" xmlns:pic="http://schemas.openxmlformats.org/drawingml/2006/picture">
            <wp:extent cx="5303520" cy="5966239"/>
            <wp:docPr id="2" name="Picture 2"/>
            <wp:cNvGraphicFramePr>
              <a:graphicFrameLocks noChangeAspect="1"/>
            </wp:cNvGraphicFramePr>
            <a:graphic>
              <a:graphicData uri="http://schemas.openxmlformats.org/drawingml/2006/picture">
                <pic:pic>
                  <pic:nvPicPr>
                    <pic:cNvPr id="0" name="case_study_1_true_positive.png"/>
                    <pic:cNvPicPr/>
                  </pic:nvPicPr>
                  <pic:blipFill>
                    <a:blip r:embed="rId12"/>
                    <a:stretch>
                      <a:fillRect/>
                    </a:stretch>
                  </pic:blipFill>
                  <pic:spPr>
                    <a:xfrm>
                      <a:off x="0" y="0"/>
                      <a:ext cx="5303520" cy="5966239"/>
                    </a:xfrm>
                    <a:prstGeom prst="rect"/>
                  </pic:spPr>
                </pic:pic>
              </a:graphicData>
            </a:graphic>
          </wp:inline>
        </w:drawing>
      </w:r>
    </w:p>
    <w:p>
      <w:pPr>
        <w:spacing w:after="160"/>
        <w:jc w:val="center"/>
      </w:pPr>
      <w:r>
        <w:rPr>
          <w:i/>
          <w:color w:val="718096"/>
          <w:sz w:val="17"/>
        </w:rPr>
        <w:t>圖 7-1：真陽性 (True Positive) 實戰診斷圖 — MSI 機制穩定度在第 42 球驟降，CUSUM 於崩盤前 8 顆球提早拉響紅燈，領先長打爆發</w:t>
      </w:r>
    </w:p>
    <w:p>
      <w:pPr>
        <w:pStyle w:val="Heading2"/>
        <w:keepNext/>
        <w:spacing w:before="240" w:after="80"/>
      </w:pPr>
      <w:r>
        <w:rPr>
          <w:b/>
          <w:color w:val="2B6CB0"/>
          <w:sz w:val="26"/>
        </w:rPr>
        <w:t>7.2 經典戰役還原：代償硬催球速的假象 (Sale 2023-05-13 110 球大戰)</w:t>
      </w:r>
    </w:p>
    <w:p>
      <w:pPr>
        <w:spacing w:after="100" w:line="276" w:lineRule="auto"/>
      </w:pPr>
      <w:r>
        <w:rPr>
          <w:color w:val="2D3748"/>
          <w:sz w:val="20"/>
        </w:rPr>
        <w:t>在 5 月 13 日對紅雀之役中，Sale 燃燒手臂投了 110 球。值得注意的是，Sale 在第 70 球後的速球均速（94.66 mph）甚至高於開局前 50 球（93.51 mph）！傳統測速槍完全被騙過。然而，系統在**第 44 顆球**即捕捉到滑球旋轉軸心的異常順時針傾角與出手點向右偏移，早早亮起黃紅燈。Sale 最終在第 77 球遭到大局連續長打襲擊。本系統足足**領先長打潮達 33 顆球**發出警訊！</w:t>
      </w:r>
    </w:p>
    <w:p>
      <w:pPr>
        <w:spacing w:before="160" w:after="40"/>
        <w:jc w:val="center"/>
      </w:pPr>
    </w:p>
    <w:p>
      <w:r>
        <w:drawing>
          <wp:inline xmlns:a="http://schemas.openxmlformats.org/drawingml/2006/main" xmlns:pic="http://schemas.openxmlformats.org/drawingml/2006/picture">
            <wp:extent cx="5303520" cy="5903124"/>
            <wp:docPr id="3" name="Picture 3"/>
            <wp:cNvGraphicFramePr>
              <a:graphicFrameLocks noChangeAspect="1"/>
            </wp:cNvGraphicFramePr>
            <a:graphic>
              <a:graphicData uri="http://schemas.openxmlformats.org/drawingml/2006/picture">
                <pic:pic>
                  <pic:nvPicPr>
                    <pic:cNvPr id="0" name="case_study_2_false_positive.png"/>
                    <pic:cNvPicPr/>
                  </pic:nvPicPr>
                  <pic:blipFill>
                    <a:blip r:embed="rId13"/>
                    <a:stretch>
                      <a:fillRect/>
                    </a:stretch>
                  </pic:blipFill>
                  <pic:spPr>
                    <a:xfrm>
                      <a:off x="0" y="0"/>
                      <a:ext cx="5303520" cy="5903124"/>
                    </a:xfrm>
                    <a:prstGeom prst="rect"/>
                  </pic:spPr>
                </pic:pic>
              </a:graphicData>
            </a:graphic>
          </wp:inline>
        </w:drawing>
      </w:r>
    </w:p>
    <w:p>
      <w:pPr>
        <w:spacing w:after="160"/>
        <w:jc w:val="center"/>
      </w:pPr>
      <w:r>
        <w:rPr>
          <w:i/>
          <w:color w:val="718096"/>
          <w:sz w:val="17"/>
        </w:rPr>
        <w:t>圖 7-2：偽陽性 (False Positive) 實戰診斷圖 — 機制出現微幅晃動觸發短暫警訊，但投手透過精準控球與球種更替化解危機，未發生失分</w:t>
      </w:r>
    </w:p>
    <w:p>
      <w:pPr>
        <w:pStyle w:val="Heading2"/>
        <w:keepNext/>
        <w:spacing w:before="240" w:after="80"/>
      </w:pPr>
      <w:r>
        <w:rPr>
          <w:b/>
          <w:color w:val="2B6CB0"/>
          <w:sz w:val="26"/>
        </w:rPr>
        <w:t>7.3 休息區戰術標準作業程序 (Dugout Bullpen SOP Timeline)</w:t>
      </w:r>
    </w:p>
    <w:p>
      <w:pPr>
        <w:spacing w:after="100" w:line="276" w:lineRule="auto"/>
      </w:pPr>
      <w:r>
        <w:rPr>
          <w:color w:val="2D3748"/>
          <w:sz w:val="20"/>
        </w:rPr>
        <w:t>為使科學數據能無縫融入教練團的大腦與賽事決策，我們設計了極簡的「四色燈號教練調度 SOP」：</w:t>
      </w:r>
    </w:p>
    <w:tbl>
      <w:tblPr>
        <w:tblW w:type="auto" w:w="0"/>
        <w:jc w:val="center"/>
        <w:tblLook w:firstColumn="1" w:firstRow="1" w:lastColumn="0" w:lastRow="0" w:noHBand="0" w:noVBand="1" w:val="04A0"/>
        <w:tblBorders>
          <w:top w:val="single" w:sz="8" w:space="0" w:color="1B365D"/>
          <w:bottom w:val="single" w:sz="12" w:space="0" w:color="1B365D"/>
          <w:insideH w:val="single" w:sz="4" w:space="0" w:color="CBD5E0"/>
          <w:insideV w:val="none"/>
          <w:left w:val="none"/>
          <w:right w:val="none"/>
        </w:tblBorders>
      </w:tblPr>
      <w:tblGrid>
        <w:gridCol w:w="2340"/>
        <w:gridCol w:w="2340"/>
        <w:gridCol w:w="2340"/>
        <w:gridCol w:w="2340"/>
      </w:tblGrid>
      <w:tr>
        <w:tc>
          <w:tcPr>
            <w:tcW w:type="dxa" w:w="2340"/>
            <w:shd w:fill="1B365D"/>
            <w:tcMar>
              <w:top w:w="80" w:type="dxa"/>
              <w:bottom w:w="80" w:type="dxa"/>
              <w:left w:w="100" w:type="dxa"/>
              <w:right w:w="100" w:type="dxa"/>
            </w:tcMar>
          </w:tcPr>
          <w:p>
            <w:pPr>
              <w:jc w:val="center"/>
            </w:pPr>
            <w:r>
              <w:rPr>
                <w:b/>
                <w:color w:val="FFFFFF"/>
                <w:sz w:val="18"/>
              </w:rPr>
              <w:t>燈號狀態</w:t>
            </w:r>
          </w:p>
        </w:tc>
        <w:tc>
          <w:tcPr>
            <w:tcW w:type="dxa" w:w="2340"/>
            <w:shd w:fill="1B365D"/>
            <w:tcMar>
              <w:top w:w="80" w:type="dxa"/>
              <w:bottom w:w="80" w:type="dxa"/>
              <w:left w:w="100" w:type="dxa"/>
              <w:right w:w="100" w:type="dxa"/>
            </w:tcMar>
          </w:tcPr>
          <w:p>
            <w:pPr>
              <w:jc w:val="center"/>
            </w:pPr>
            <w:r>
              <w:rPr>
                <w:b/>
                <w:color w:val="FFFFFF"/>
                <w:sz w:val="18"/>
              </w:rPr>
              <w:t>MSI 穩定度 / CUSUM 指標</w:t>
            </w:r>
          </w:p>
        </w:tc>
        <w:tc>
          <w:tcPr>
            <w:tcW w:type="dxa" w:w="2340"/>
            <w:shd w:fill="1B365D"/>
            <w:tcMar>
              <w:top w:w="80" w:type="dxa"/>
              <w:bottom w:w="80" w:type="dxa"/>
              <w:left w:w="100" w:type="dxa"/>
              <w:right w:w="100" w:type="dxa"/>
            </w:tcMar>
          </w:tcPr>
          <w:p>
            <w:pPr>
              <w:jc w:val="center"/>
            </w:pPr>
            <w:r>
              <w:rPr>
                <w:b/>
                <w:color w:val="FFFFFF"/>
                <w:sz w:val="18"/>
              </w:rPr>
              <w:t>球場實戰意義</w:t>
            </w:r>
          </w:p>
        </w:tc>
        <w:tc>
          <w:tcPr>
            <w:tcW w:type="dxa" w:w="2340"/>
            <w:shd w:fill="1B365D"/>
            <w:tcMar>
              <w:top w:w="80" w:type="dxa"/>
              <w:bottom w:w="80" w:type="dxa"/>
              <w:left w:w="100" w:type="dxa"/>
              <w:right w:w="100" w:type="dxa"/>
            </w:tcMar>
          </w:tcPr>
          <w:p>
            <w:pPr>
              <w:jc w:val="center"/>
            </w:pPr>
            <w:r>
              <w:rPr>
                <w:b/>
                <w:color w:val="FFFFFF"/>
                <w:sz w:val="18"/>
              </w:rPr>
              <w:t>板凳教練 / 投手教練執行動作</w:t>
            </w:r>
          </w:p>
        </w:tc>
      </w:tr>
      <w:tr>
        <w:tc>
          <w:tcPr>
            <w:tcW w:type="dxa" w:w="2340"/>
            <w:shd w:fill="F7FAFC"/>
            <w:tcMar>
              <w:top w:w="80" w:type="dxa"/>
              <w:bottom w:w="80" w:type="dxa"/>
              <w:left w:w="90" w:type="dxa"/>
              <w:right w:w="90" w:type="dxa"/>
            </w:tcMar>
          </w:tcPr>
          <w:p>
            <w:pPr>
              <w:jc w:val="center"/>
            </w:pPr>
            <w:r>
              <w:rPr>
                <w:color w:val="2D3748"/>
                <w:sz w:val="17"/>
              </w:rPr>
              <w:t>🟢 綠燈常態</w:t>
              <w:br/>
              <w:t>(Normal)</w:t>
            </w:r>
          </w:p>
        </w:tc>
        <w:tc>
          <w:tcPr>
            <w:tcW w:type="dxa" w:w="2340"/>
            <w:shd w:fill="F7FAFC"/>
            <w:tcMar>
              <w:top w:w="80" w:type="dxa"/>
              <w:bottom w:w="80" w:type="dxa"/>
              <w:left w:w="90" w:type="dxa"/>
              <w:right w:w="90" w:type="dxa"/>
            </w:tcMar>
          </w:tcPr>
          <w:p>
            <w:pPr>
              <w:jc w:val="center"/>
            </w:pPr>
            <w:r>
              <w:rPr>
                <w:color w:val="2D3748"/>
                <w:sz w:val="17"/>
              </w:rPr>
              <w:t>MSI ≥ 50 分</w:t>
              <w:br/>
              <w:t>CUSUM 無警報</w:t>
            </w:r>
          </w:p>
        </w:tc>
        <w:tc>
          <w:tcPr>
            <w:tcW w:type="dxa" w:w="2340"/>
            <w:shd w:fill="F7FAFC"/>
            <w:tcMar>
              <w:top w:w="80" w:type="dxa"/>
              <w:bottom w:w="80" w:type="dxa"/>
              <w:left w:w="90" w:type="dxa"/>
              <w:right w:w="90" w:type="dxa"/>
            </w:tcMar>
          </w:tcPr>
          <w:p>
            <w:r>
              <w:rPr>
                <w:color w:val="2D3748"/>
                <w:sz w:val="17"/>
              </w:rPr>
              <w:t>力學一致性良好，投球機制維持個人歷史健康分佈。</w:t>
            </w:r>
          </w:p>
        </w:tc>
        <w:tc>
          <w:tcPr>
            <w:tcW w:type="dxa" w:w="2340"/>
            <w:shd w:fill="F7FAFC"/>
            <w:tcMar>
              <w:top w:w="80" w:type="dxa"/>
              <w:bottom w:w="80" w:type="dxa"/>
              <w:left w:w="90" w:type="dxa"/>
              <w:right w:w="90" w:type="dxa"/>
            </w:tcMar>
          </w:tcPr>
          <w:p>
            <w:r>
              <w:rPr>
                <w:color w:val="2D3748"/>
                <w:sz w:val="17"/>
              </w:rPr>
              <w:t>維持先發正常調度節奏，無須干預。</w:t>
            </w:r>
          </w:p>
        </w:tc>
      </w:tr>
      <w:tr>
        <w:tc>
          <w:tcPr>
            <w:tcW w:type="dxa" w:w="2340"/>
            <w:shd w:fill="FFFFFF"/>
            <w:tcMar>
              <w:top w:w="80" w:type="dxa"/>
              <w:bottom w:w="80" w:type="dxa"/>
              <w:left w:w="90" w:type="dxa"/>
              <w:right w:w="90" w:type="dxa"/>
            </w:tcMar>
          </w:tcPr>
          <w:p>
            <w:pPr>
              <w:jc w:val="center"/>
            </w:pPr>
            <w:r>
              <w:rPr>
                <w:color w:val="2D3748"/>
                <w:sz w:val="17"/>
              </w:rPr>
              <w:t>🟡 黃燈警戒</w:t>
              <w:br/>
              <w:t>(Watch)</w:t>
            </w:r>
          </w:p>
        </w:tc>
        <w:tc>
          <w:tcPr>
            <w:tcW w:type="dxa" w:w="2340"/>
            <w:shd w:fill="FFFFFF"/>
            <w:tcMar>
              <w:top w:w="80" w:type="dxa"/>
              <w:bottom w:w="80" w:type="dxa"/>
              <w:left w:w="90" w:type="dxa"/>
              <w:right w:w="90" w:type="dxa"/>
            </w:tcMar>
          </w:tcPr>
          <w:p>
            <w:pPr>
              <w:jc w:val="center"/>
            </w:pPr>
            <w:r>
              <w:rPr>
                <w:color w:val="2D3748"/>
                <w:sz w:val="17"/>
              </w:rPr>
              <w:t>MSI 降至 30–50 分</w:t>
              <w:br/>
              <w:t>單球微飄移</w:t>
            </w:r>
          </w:p>
        </w:tc>
        <w:tc>
          <w:tcPr>
            <w:tcW w:type="dxa" w:w="2340"/>
            <w:shd w:fill="FFFFFF"/>
            <w:tcMar>
              <w:top w:w="80" w:type="dxa"/>
              <w:bottom w:w="80" w:type="dxa"/>
              <w:left w:w="90" w:type="dxa"/>
              <w:right w:w="90" w:type="dxa"/>
            </w:tcMar>
          </w:tcPr>
          <w:p>
            <w:r>
              <w:rPr>
                <w:color w:val="2D3748"/>
                <w:sz w:val="17"/>
              </w:rPr>
              <w:t>機制出現偶發性偏離（手指摩擦力微調或體能首波下降）。</w:t>
            </w:r>
          </w:p>
        </w:tc>
        <w:tc>
          <w:tcPr>
            <w:tcW w:type="dxa" w:w="2340"/>
            <w:shd w:fill="FFFFFF"/>
            <w:tcMar>
              <w:top w:w="80" w:type="dxa"/>
              <w:bottom w:w="80" w:type="dxa"/>
              <w:left w:w="90" w:type="dxa"/>
              <w:right w:w="90" w:type="dxa"/>
            </w:tcMar>
          </w:tcPr>
          <w:p>
            <w:r>
              <w:rPr>
                <w:color w:val="2D3748"/>
                <w:sz w:val="17"/>
              </w:rPr>
              <w:t>投手教練於換局時口頭溝通，牛棚投手開始穿外套活動關節。</w:t>
            </w:r>
          </w:p>
        </w:tc>
      </w:tr>
      <w:tr>
        <w:tc>
          <w:tcPr>
            <w:tcW w:type="dxa" w:w="2340"/>
            <w:shd w:fill="F7FAFC"/>
            <w:tcMar>
              <w:top w:w="80" w:type="dxa"/>
              <w:bottom w:w="80" w:type="dxa"/>
              <w:left w:w="90" w:type="dxa"/>
              <w:right w:w="90" w:type="dxa"/>
            </w:tcMar>
          </w:tcPr>
          <w:p>
            <w:pPr>
              <w:jc w:val="center"/>
            </w:pPr>
            <w:r>
              <w:rPr>
                <w:color w:val="2D3748"/>
                <w:sz w:val="17"/>
              </w:rPr>
              <w:t>🟠 橙燈預備</w:t>
              <w:br/>
              <w:t>(Prepare)</w:t>
            </w:r>
          </w:p>
        </w:tc>
        <w:tc>
          <w:tcPr>
            <w:tcW w:type="dxa" w:w="2340"/>
            <w:shd w:fill="F7FAFC"/>
            <w:tcMar>
              <w:top w:w="80" w:type="dxa"/>
              <w:bottom w:w="80" w:type="dxa"/>
              <w:left w:w="90" w:type="dxa"/>
              <w:right w:w="90" w:type="dxa"/>
            </w:tcMar>
          </w:tcPr>
          <w:p>
            <w:pPr>
              <w:jc w:val="center"/>
            </w:pPr>
            <w:r>
              <w:rPr>
                <w:color w:val="2D3748"/>
                <w:sz w:val="17"/>
              </w:rPr>
              <w:t>MSI &lt; 30 分</w:t>
              <w:br/>
              <w:t>連續 2 球異常</w:t>
            </w:r>
          </w:p>
        </w:tc>
        <w:tc>
          <w:tcPr>
            <w:tcW w:type="dxa" w:w="2340"/>
            <w:shd w:fill="F7FAFC"/>
            <w:tcMar>
              <w:top w:w="80" w:type="dxa"/>
              <w:bottom w:w="80" w:type="dxa"/>
              <w:left w:w="90" w:type="dxa"/>
              <w:right w:w="90" w:type="dxa"/>
            </w:tcMar>
          </w:tcPr>
          <w:p>
            <w:r>
              <w:rPr>
                <w:color w:val="2D3748"/>
                <w:sz w:val="17"/>
              </w:rPr>
              <w:t>主要球種之旋轉軸心或放球延伸出現方向性漂移。</w:t>
            </w:r>
          </w:p>
        </w:tc>
        <w:tc>
          <w:tcPr>
            <w:tcW w:type="dxa" w:w="2340"/>
            <w:shd w:fill="F7FAFC"/>
            <w:tcMar>
              <w:top w:w="80" w:type="dxa"/>
              <w:bottom w:w="80" w:type="dxa"/>
              <w:left w:w="90" w:type="dxa"/>
              <w:right w:w="90" w:type="dxa"/>
            </w:tcMar>
          </w:tcPr>
          <w:p>
            <w:r>
              <w:rPr>
                <w:color w:val="2D3748"/>
                <w:sz w:val="17"/>
              </w:rPr>
              <w:t>【下達牛棚電話】：指示對應後援投手正式上投手丘傳接熱身！</w:t>
            </w:r>
          </w:p>
        </w:tc>
      </w:tr>
      <w:tr>
        <w:tc>
          <w:tcPr>
            <w:tcW w:type="dxa" w:w="2340"/>
            <w:shd w:fill="FFFFFF"/>
            <w:tcMar>
              <w:top w:w="80" w:type="dxa"/>
              <w:bottom w:w="80" w:type="dxa"/>
              <w:left w:w="90" w:type="dxa"/>
              <w:right w:w="90" w:type="dxa"/>
            </w:tcMar>
          </w:tcPr>
          <w:p>
            <w:pPr>
              <w:jc w:val="center"/>
            </w:pPr>
            <w:r>
              <w:rPr>
                <w:b/>
                <w:color w:val="C53030"/>
                <w:sz w:val="17"/>
              </w:rPr>
              <w:t>🔴 紅燈終止</w:t>
              <w:br/>
              <w:t>(Action)</w:t>
            </w:r>
          </w:p>
        </w:tc>
        <w:tc>
          <w:tcPr>
            <w:tcW w:type="dxa" w:w="2340"/>
            <w:shd w:fill="FFFFFF"/>
            <w:tcMar>
              <w:top w:w="80" w:type="dxa"/>
              <w:bottom w:w="80" w:type="dxa"/>
              <w:left w:w="90" w:type="dxa"/>
              <w:right w:w="90" w:type="dxa"/>
            </w:tcMar>
          </w:tcPr>
          <w:p>
            <w:pPr>
              <w:jc w:val="center"/>
            </w:pPr>
            <w:r>
              <w:rPr>
                <w:color w:val="2D3748"/>
                <w:sz w:val="17"/>
              </w:rPr>
              <w:t>CUSUM 警報觸發</w:t>
              <w:br/>
              <w:t>(統計量突破臨界線)</w:t>
            </w:r>
          </w:p>
        </w:tc>
        <w:tc>
          <w:tcPr>
            <w:tcW w:type="dxa" w:w="2340"/>
            <w:shd w:fill="FFFFFF"/>
            <w:tcMar>
              <w:top w:w="80" w:type="dxa"/>
              <w:bottom w:w="80" w:type="dxa"/>
              <w:left w:w="90" w:type="dxa"/>
              <w:right w:w="90" w:type="dxa"/>
            </w:tcMar>
          </w:tcPr>
          <w:p>
            <w:r>
              <w:rPr>
                <w:color w:val="2D3748"/>
                <w:sz w:val="17"/>
              </w:rPr>
              <w:t>力學鏈已呈不可逆解體，崩潰事件預計在 5–10 球內爆發。</w:t>
            </w:r>
          </w:p>
        </w:tc>
        <w:tc>
          <w:tcPr>
            <w:tcW w:type="dxa" w:w="2340"/>
            <w:shd w:fill="FFFFFF"/>
            <w:tcMar>
              <w:top w:w="80" w:type="dxa"/>
              <w:bottom w:w="80" w:type="dxa"/>
              <w:left w:w="90" w:type="dxa"/>
              <w:right w:w="90" w:type="dxa"/>
            </w:tcMar>
          </w:tcPr>
          <w:p>
            <w:r>
              <w:rPr>
                <w:color w:val="2D3748"/>
                <w:sz w:val="17"/>
              </w:rPr>
              <w:t>【果斷換投】：不管當前球數與比分，該打席結束後立即換投，阻斷失分！</w:t>
            </w:r>
          </w:p>
        </w:tc>
      </w:tr>
    </w:tbl>
    <w:p>
      <w:pPr>
        <w:spacing w:after="160" w:line="276" w:lineRule="auto"/>
      </w:pPr>
    </w:p>
    <w:p>
      <w:pPr>
        <w:spacing w:before="160" w:after="40"/>
        <w:jc w:val="center"/>
      </w:pPr>
    </w:p>
    <w:p>
      <w:r>
        <w:drawing>
          <wp:inline xmlns:a="http://schemas.openxmlformats.org/drawingml/2006/main" xmlns:pic="http://schemas.openxmlformats.org/drawingml/2006/picture">
            <wp:extent cx="5303520" cy="6088289"/>
            <wp:docPr id="4" name="Picture 4"/>
            <wp:cNvGraphicFramePr>
              <a:graphicFrameLocks noChangeAspect="1"/>
            </wp:cNvGraphicFramePr>
            <a:graphic>
              <a:graphicData uri="http://schemas.openxmlformats.org/drawingml/2006/picture">
                <pic:pic>
                  <pic:nvPicPr>
                    <pic:cNvPr id="0" name="case_study_4_true_negative.png"/>
                    <pic:cNvPicPr/>
                  </pic:nvPicPr>
                  <pic:blipFill>
                    <a:blip r:embed="rId14"/>
                    <a:stretch>
                      <a:fillRect/>
                    </a:stretch>
                  </pic:blipFill>
                  <pic:spPr>
                    <a:xfrm>
                      <a:off x="0" y="0"/>
                      <a:ext cx="5303520" cy="6088289"/>
                    </a:xfrm>
                    <a:prstGeom prst="rect"/>
                  </pic:spPr>
                </pic:pic>
              </a:graphicData>
            </a:graphic>
          </wp:inline>
        </w:drawing>
      </w:r>
    </w:p>
    <w:p>
      <w:pPr>
        <w:spacing w:after="160"/>
        <w:jc w:val="center"/>
      </w:pPr>
      <w:r>
        <w:rPr>
          <w:i/>
          <w:color w:val="718096"/>
          <w:sz w:val="17"/>
        </w:rPr>
        <w:t>圖 7-3：真陰性 (True Negative) 實戰診斷圖 — 先發 7 局 95 球力學全程維持高位 (MSI &gt; 70)，無假警報，完封好投</w:t>
      </w:r>
    </w:p>
    <w:p>
      <w:pPr>
        <w:pStyle w:val="Heading2"/>
        <w:keepNext/>
        <w:spacing w:before="240" w:after="80"/>
      </w:pPr>
      <w:r>
        <w:rPr>
          <w:b/>
          <w:color w:val="2B6CB0"/>
          <w:sz w:val="26"/>
        </w:rPr>
        <w:t>7.4 雲端湖倉架構與即時儀表板落地</w:t>
      </w:r>
    </w:p>
    <w:p>
      <w:pPr>
        <w:spacing w:after="100" w:line="276" w:lineRule="auto"/>
      </w:pPr>
      <w:r>
        <w:rPr>
          <w:color w:val="2D3748"/>
          <w:sz w:val="20"/>
        </w:rPr>
        <w:t>系統已完整實作企業級雲端發布流程：透過 Cloud Run Jobs 實現無伺服器批次運算，數據自動 Partition 落地於 Google Cloud Storage 與 BigQuery，並以 Streamlit 打造出高流暢度的即時休息區儀表板。教練只需手持平板電腦，即可即時拖動進度條查看投手在場上的極坐標軸心雷達圖、MSI 趨勢心電圖與四類真實個案診斷圖。</w:t>
      </w:r>
    </w:p>
    <w:p>
      <w:pPr>
        <w:pStyle w:val="Heading1"/>
        <w:keepNext/>
        <w:spacing w:before="360" w:after="120"/>
      </w:pPr>
      <w:r>
        <w:rPr>
          <w:b/>
          <w:color w:val="1B365D"/>
          <w:sz w:val="32"/>
        </w:rPr>
        <w:t>第 8 章：全棧技術堆疊與系統架構 (Comprehensive Technology Stack)</w:t>
      </w:r>
    </w:p>
    <w:p>
      <w:pPr>
        <w:spacing w:after="100" w:line="276" w:lineRule="auto"/>
      </w:pPr>
      <w:r>
        <w:rPr>
          <w:color w:val="2D3748"/>
          <w:sz w:val="20"/>
        </w:rPr>
        <w:t>本專案不僅是一項運動科學與統計學的理論研究，更是一套遵循現代軟體工程與資料架構最佳實踐（Best Practices）打造的企業級生產系統。系統架構無縫整合了本地輕量極速運算與 Google Cloud Platform（GCP）企業級雲端擴展能力，整體技術堆疊依功能分層如下：</w:t>
      </w:r>
    </w:p>
    <w:tbl>
      <w:tblPr>
        <w:tblW w:type="auto" w:w="0"/>
        <w:jc w:val="center"/>
        <w:tblLook w:firstColumn="1" w:firstRow="1" w:lastColumn="0" w:lastRow="0" w:noHBand="0" w:noVBand="1" w:val="04A0"/>
        <w:tblBorders>
          <w:top w:val="single" w:sz="8" w:space="0" w:color="1B365D"/>
          <w:bottom w:val="single" w:sz="12" w:space="0" w:color="1B365D"/>
          <w:insideH w:val="single" w:sz="4" w:space="0" w:color="CBD5E0"/>
          <w:insideV w:val="none"/>
          <w:left w:val="none"/>
          <w:right w:val="none"/>
        </w:tblBorders>
      </w:tblPr>
      <w:tblGrid>
        <w:gridCol w:w="2340"/>
        <w:gridCol w:w="2340"/>
        <w:gridCol w:w="2340"/>
        <w:gridCol w:w="2340"/>
      </w:tblGrid>
      <w:tr>
        <w:tc>
          <w:tcPr>
            <w:tcW w:type="dxa" w:w="2340"/>
            <w:shd w:fill="1B365D"/>
            <w:tcMar>
              <w:top w:w="80" w:type="dxa"/>
              <w:bottom w:w="80" w:type="dxa"/>
              <w:left w:w="90" w:type="dxa"/>
              <w:right w:w="90" w:type="dxa"/>
            </w:tcMar>
          </w:tcPr>
          <w:p>
            <w:pPr>
              <w:jc w:val="center"/>
            </w:pPr>
            <w:r>
              <w:rPr>
                <w:b/>
                <w:color w:val="FFFFFF"/>
                <w:sz w:val="18"/>
              </w:rPr>
              <w:t>架構層級 (Architecture Layer)</w:t>
            </w:r>
          </w:p>
        </w:tc>
        <w:tc>
          <w:tcPr>
            <w:tcW w:type="dxa" w:w="2340"/>
            <w:shd w:fill="1B365D"/>
            <w:tcMar>
              <w:top w:w="80" w:type="dxa"/>
              <w:bottom w:w="80" w:type="dxa"/>
              <w:left w:w="90" w:type="dxa"/>
              <w:right w:w="90" w:type="dxa"/>
            </w:tcMar>
          </w:tcPr>
          <w:p>
            <w:pPr>
              <w:jc w:val="center"/>
            </w:pPr>
            <w:r>
              <w:rPr>
                <w:b/>
                <w:color w:val="FFFFFF"/>
                <w:sz w:val="18"/>
              </w:rPr>
              <w:t>核心技術與框架</w:t>
            </w:r>
          </w:p>
        </w:tc>
        <w:tc>
          <w:tcPr>
            <w:tcW w:type="dxa" w:w="2340"/>
            <w:shd w:fill="1B365D"/>
            <w:tcMar>
              <w:top w:w="80" w:type="dxa"/>
              <w:bottom w:w="80" w:type="dxa"/>
              <w:left w:w="90" w:type="dxa"/>
              <w:right w:w="90" w:type="dxa"/>
            </w:tcMar>
          </w:tcPr>
          <w:p>
            <w:pPr>
              <w:jc w:val="center"/>
            </w:pPr>
            <w:r>
              <w:rPr>
                <w:b/>
                <w:color w:val="FFFFFF"/>
                <w:sz w:val="18"/>
              </w:rPr>
              <w:t>規格 / 版本</w:t>
            </w:r>
          </w:p>
        </w:tc>
        <w:tc>
          <w:tcPr>
            <w:tcW w:type="dxa" w:w="2340"/>
            <w:shd w:fill="1B365D"/>
            <w:tcMar>
              <w:top w:w="80" w:type="dxa"/>
              <w:bottom w:w="80" w:type="dxa"/>
              <w:left w:w="90" w:type="dxa"/>
              <w:right w:w="90" w:type="dxa"/>
            </w:tcMar>
          </w:tcPr>
          <w:p>
            <w:pPr>
              <w:jc w:val="center"/>
            </w:pPr>
            <w:r>
              <w:rPr>
                <w:b/>
                <w:color w:val="FFFFFF"/>
                <w:sz w:val="18"/>
              </w:rPr>
              <w:t>在系統中的核心職責與工程效益</w:t>
            </w:r>
          </w:p>
        </w:tc>
      </w:tr>
      <w:tr>
        <w:tc>
          <w:tcPr>
            <w:tcW w:type="dxa" w:w="2340"/>
            <w:shd w:fill="F7FAFC"/>
            <w:tcMar>
              <w:top w:w="70" w:type="dxa"/>
              <w:bottom w:w="70" w:type="dxa"/>
              <w:left w:w="80" w:type="dxa"/>
              <w:right w:w="80" w:type="dxa"/>
            </w:tcMar>
          </w:tcPr>
          <w:p>
            <w:pPr>
              <w:jc w:val="center"/>
            </w:pPr>
            <w:r>
              <w:rPr>
                <w:b/>
                <w:color w:val="1B365D"/>
                <w:sz w:val="17"/>
              </w:rPr>
              <w:t>1. 數據獲取與外部資料源</w:t>
              <w:br/>
              <w:t>(Data Ingestion)</w:t>
            </w:r>
          </w:p>
        </w:tc>
        <w:tc>
          <w:tcPr>
            <w:tcW w:type="dxa" w:w="2340"/>
            <w:shd w:fill="F7FAFC"/>
            <w:tcMar>
              <w:top w:w="70" w:type="dxa"/>
              <w:bottom w:w="70" w:type="dxa"/>
              <w:left w:w="80" w:type="dxa"/>
              <w:right w:w="80" w:type="dxa"/>
            </w:tcMar>
          </w:tcPr>
          <w:p>
            <w:r>
              <w:rPr>
                <w:color w:val="2D3748"/>
                <w:sz w:val="17"/>
              </w:rPr>
              <w:t>MLB Statcast API</w:t>
              <w:br/>
              <w:t>PyBaseball</w:t>
              <w:br/>
              <w:t>Requests</w:t>
            </w:r>
          </w:p>
        </w:tc>
        <w:tc>
          <w:tcPr>
            <w:tcW w:type="dxa" w:w="2340"/>
            <w:shd w:fill="F7FAFC"/>
            <w:tcMar>
              <w:top w:w="70" w:type="dxa"/>
              <w:bottom w:w="70" w:type="dxa"/>
              <w:left w:w="80" w:type="dxa"/>
              <w:right w:w="80" w:type="dxa"/>
            </w:tcMar>
          </w:tcPr>
          <w:p>
            <w:pPr>
              <w:jc w:val="center"/>
            </w:pPr>
            <w:r>
              <w:rPr>
                <w:color w:val="2D3748"/>
                <w:sz w:val="17"/>
              </w:rPr>
              <w:t>Python 3.11</w:t>
              <w:br/>
              <w:t>PyBaseball &gt;= 2.2.7</w:t>
              <w:br/>
              <w:t>Requests &gt;= 2.31</w:t>
            </w:r>
          </w:p>
        </w:tc>
        <w:tc>
          <w:tcPr>
            <w:tcW w:type="dxa" w:w="2340"/>
            <w:shd w:fill="F7FAFC"/>
            <w:tcMar>
              <w:top w:w="70" w:type="dxa"/>
              <w:bottom w:w="70" w:type="dxa"/>
              <w:left w:w="80" w:type="dxa"/>
              <w:right w:w="80" w:type="dxa"/>
            </w:tcMar>
          </w:tcPr>
          <w:p>
            <w:r>
              <w:rPr>
                <w:color w:val="2D3748"/>
                <w:sz w:val="17"/>
              </w:rPr>
              <w:t>透過 MLB 官方 Hawk-Eye 光學追蹤與雷達接口，以投手-賽季為單位進行高頻軌跡批次抓取；內建 120 區段校驗與空賽季官方證明機制。</w:t>
            </w:r>
          </w:p>
        </w:tc>
      </w:tr>
      <w:tr>
        <w:tc>
          <w:tcPr>
            <w:tcW w:type="dxa" w:w="2340"/>
            <w:shd w:fill="FFFFFF"/>
            <w:tcMar>
              <w:top w:w="70" w:type="dxa"/>
              <w:bottom w:w="70" w:type="dxa"/>
              <w:left w:w="80" w:type="dxa"/>
              <w:right w:w="80" w:type="dxa"/>
            </w:tcMar>
          </w:tcPr>
          <w:p>
            <w:pPr>
              <w:jc w:val="center"/>
            </w:pPr>
            <w:r>
              <w:rPr>
                <w:b/>
                <w:color w:val="1B365D"/>
                <w:sz w:val="17"/>
              </w:rPr>
              <w:t>2. 數理統計與演算法引擎</w:t>
              <w:br/>
              <w:t>(Scientific Computing)</w:t>
            </w:r>
          </w:p>
        </w:tc>
        <w:tc>
          <w:tcPr>
            <w:tcW w:type="dxa" w:w="2340"/>
            <w:shd w:fill="FFFFFF"/>
            <w:tcMar>
              <w:top w:w="70" w:type="dxa"/>
              <w:bottom w:w="70" w:type="dxa"/>
              <w:left w:w="80" w:type="dxa"/>
              <w:right w:w="80" w:type="dxa"/>
            </w:tcMar>
          </w:tcPr>
          <w:p>
            <w:r>
              <w:rPr>
                <w:color w:val="2D3748"/>
                <w:sz w:val="17"/>
              </w:rPr>
              <w:t>NumPy</w:t>
              <w:br/>
              <w:t>SciPy</w:t>
              <w:br/>
              <w:t>Scikit-learn</w:t>
              <w:br/>
              <w:t>Pandas</w:t>
            </w:r>
          </w:p>
        </w:tc>
        <w:tc>
          <w:tcPr>
            <w:tcW w:type="dxa" w:w="2340"/>
            <w:shd w:fill="FFFFFF"/>
            <w:tcMar>
              <w:top w:w="70" w:type="dxa"/>
              <w:bottom w:w="70" w:type="dxa"/>
              <w:left w:w="80" w:type="dxa"/>
              <w:right w:w="80" w:type="dxa"/>
            </w:tcMar>
          </w:tcPr>
          <w:p>
            <w:pPr>
              <w:jc w:val="center"/>
            </w:pPr>
            <w:r>
              <w:rPr>
                <w:color w:val="2D3748"/>
                <w:sz w:val="17"/>
              </w:rPr>
              <w:t>NumPy &gt;= 1.24</w:t>
              <w:br/>
              <w:t>SciPy &gt;= 1.10</w:t>
              <w:br/>
              <w:t>Scikit-learn &gt;= 1.3</w:t>
              <w:br/>
              <w:t>Pandas &gt;= 2.0</w:t>
            </w:r>
          </w:p>
        </w:tc>
        <w:tc>
          <w:tcPr>
            <w:tcW w:type="dxa" w:w="2340"/>
            <w:shd w:fill="FFFFFF"/>
            <w:tcMar>
              <w:top w:w="70" w:type="dxa"/>
              <w:bottom w:w="70" w:type="dxa"/>
              <w:left w:w="80" w:type="dxa"/>
              <w:right w:w="80" w:type="dxa"/>
            </w:tcMar>
          </w:tcPr>
          <w:p>
            <w:r>
              <w:rPr>
                <w:color w:val="2D3748"/>
                <w:sz w:val="17"/>
              </w:rPr>
              <w:t>核心力學計算：高維協方差矩陣求逆與嶺正則化、圓周旋轉連續性三角投影、馬氏子空間塊投影、CUSUM 時序累計方程、1,000 次成對靴拔重抽樣。</w:t>
            </w:r>
          </w:p>
        </w:tc>
      </w:tr>
      <w:tr>
        <w:tc>
          <w:tcPr>
            <w:tcW w:type="dxa" w:w="2340"/>
            <w:shd w:fill="F7FAFC"/>
            <w:tcMar>
              <w:top w:w="70" w:type="dxa"/>
              <w:bottom w:w="70" w:type="dxa"/>
              <w:left w:w="80" w:type="dxa"/>
              <w:right w:w="80" w:type="dxa"/>
            </w:tcMar>
          </w:tcPr>
          <w:p>
            <w:pPr>
              <w:jc w:val="center"/>
            </w:pPr>
            <w:r>
              <w:rPr>
                <w:b/>
                <w:color w:val="1B365D"/>
                <w:sz w:val="17"/>
              </w:rPr>
              <w:t>3. 數據湖倉與儲存架構</w:t>
              <w:br/>
              <w:t>(Lakehouse &amp; Storage)</w:t>
            </w:r>
          </w:p>
        </w:tc>
        <w:tc>
          <w:tcPr>
            <w:tcW w:type="dxa" w:w="2340"/>
            <w:shd w:fill="F7FAFC"/>
            <w:tcMar>
              <w:top w:w="70" w:type="dxa"/>
              <w:bottom w:w="70" w:type="dxa"/>
              <w:left w:w="80" w:type="dxa"/>
              <w:right w:w="80" w:type="dxa"/>
            </w:tcMar>
          </w:tcPr>
          <w:p>
            <w:r>
              <w:rPr>
                <w:color w:val="2D3748"/>
                <w:sz w:val="17"/>
              </w:rPr>
              <w:t>DuckDB</w:t>
              <w:br/>
              <w:t>Apache Parquet</w:t>
              <w:br/>
              <w:t>PyArrow</w:t>
              <w:br/>
              <w:t>Fastparquet</w:t>
            </w:r>
          </w:p>
        </w:tc>
        <w:tc>
          <w:tcPr>
            <w:tcW w:type="dxa" w:w="2340"/>
            <w:shd w:fill="F7FAFC"/>
            <w:tcMar>
              <w:top w:w="70" w:type="dxa"/>
              <w:bottom w:w="70" w:type="dxa"/>
              <w:left w:w="80" w:type="dxa"/>
              <w:right w:w="80" w:type="dxa"/>
            </w:tcMar>
          </w:tcPr>
          <w:p>
            <w:pPr>
              <w:jc w:val="center"/>
            </w:pPr>
            <w:r>
              <w:rPr>
                <w:color w:val="2D3748"/>
                <w:sz w:val="17"/>
              </w:rPr>
              <w:t>DuckDB &gt;= 0.9.0</w:t>
              <w:br/>
              <w:t>PyArrow &gt;= 14.0</w:t>
              <w:br/>
              <w:t>Fastparquet &gt;= 2023</w:t>
            </w:r>
          </w:p>
        </w:tc>
        <w:tc>
          <w:tcPr>
            <w:tcW w:type="dxa" w:w="2340"/>
            <w:shd w:fill="F7FAFC"/>
            <w:tcMar>
              <w:top w:w="70" w:type="dxa"/>
              <w:bottom w:w="70" w:type="dxa"/>
              <w:left w:w="80" w:type="dxa"/>
              <w:right w:w="80" w:type="dxa"/>
            </w:tcMar>
          </w:tcPr>
          <w:p>
            <w:r>
              <w:rPr>
                <w:color w:val="2D3748"/>
                <w:sz w:val="17"/>
              </w:rPr>
              <w:t>實作 Medallion 5 層資料湖倉（Bronze ➔ Silver ➔ Gold ➔ Marts）。本地端利用 DuckDB 進行向量化極速查詢，檔案格式採高壓縮比列式 Parquet。</w:t>
            </w:r>
          </w:p>
        </w:tc>
      </w:tr>
      <w:tr>
        <w:tc>
          <w:tcPr>
            <w:tcW w:type="dxa" w:w="2340"/>
            <w:shd w:fill="FFFFFF"/>
            <w:tcMar>
              <w:top w:w="70" w:type="dxa"/>
              <w:bottom w:w="70" w:type="dxa"/>
              <w:left w:w="80" w:type="dxa"/>
              <w:right w:w="80" w:type="dxa"/>
            </w:tcMar>
          </w:tcPr>
          <w:p>
            <w:pPr>
              <w:jc w:val="center"/>
            </w:pPr>
            <w:r>
              <w:rPr>
                <w:b/>
                <w:color w:val="1B365D"/>
                <w:sz w:val="17"/>
              </w:rPr>
              <w:t>4. 雲端大數據與數據倉儲</w:t>
              <w:br/>
              <w:t>(Cloud Warehouse &amp; GCS)</w:t>
            </w:r>
          </w:p>
        </w:tc>
        <w:tc>
          <w:tcPr>
            <w:tcW w:type="dxa" w:w="2340"/>
            <w:shd w:fill="FFFFFF"/>
            <w:tcMar>
              <w:top w:w="70" w:type="dxa"/>
              <w:bottom w:w="70" w:type="dxa"/>
              <w:left w:w="80" w:type="dxa"/>
              <w:right w:w="80" w:type="dxa"/>
            </w:tcMar>
          </w:tcPr>
          <w:p>
            <w:r>
              <w:rPr>
                <w:color w:val="2D3748"/>
                <w:sz w:val="17"/>
              </w:rPr>
              <w:t>Google Cloud Storage</w:t>
              <w:br/>
              <w:t>Google BigQuery</w:t>
            </w:r>
          </w:p>
        </w:tc>
        <w:tc>
          <w:tcPr>
            <w:tcW w:type="dxa" w:w="2340"/>
            <w:shd w:fill="FFFFFF"/>
            <w:tcMar>
              <w:top w:w="70" w:type="dxa"/>
              <w:bottom w:w="70" w:type="dxa"/>
              <w:left w:w="80" w:type="dxa"/>
              <w:right w:w="80" w:type="dxa"/>
            </w:tcMar>
          </w:tcPr>
          <w:p>
            <w:pPr>
              <w:jc w:val="center"/>
            </w:pPr>
            <w:r>
              <w:rPr>
                <w:color w:val="2D3748"/>
                <w:sz w:val="17"/>
              </w:rPr>
              <w:t>GCS Bucket</w:t>
              <w:br/>
              <w:t>BigQuery (US-central1)</w:t>
              <w:br/>
              <w:t>Partition &amp; Cluster</w:t>
            </w:r>
          </w:p>
        </w:tc>
        <w:tc>
          <w:tcPr>
            <w:tcW w:type="dxa" w:w="2340"/>
            <w:shd w:fill="FFFFFF"/>
            <w:tcMar>
              <w:top w:w="70" w:type="dxa"/>
              <w:bottom w:w="70" w:type="dxa"/>
              <w:left w:w="80" w:type="dxa"/>
              <w:right w:w="80" w:type="dxa"/>
            </w:tcMar>
          </w:tcPr>
          <w:p>
            <w:r>
              <w:rPr>
                <w:color w:val="2D3748"/>
                <w:sz w:val="17"/>
              </w:rPr>
              <w:t>雲端資料湖具備斷點檢查點（Checkpointing）；BigQuery 數據倉儲以 game_date 進行時間分區，並以 pitcher, pitch_type 分群，巨幅降低 SQL 查詢成本。</w:t>
            </w:r>
          </w:p>
        </w:tc>
      </w:tr>
      <w:tr>
        <w:tc>
          <w:tcPr>
            <w:tcW w:type="dxa" w:w="2340"/>
            <w:shd w:fill="F7FAFC"/>
            <w:tcMar>
              <w:top w:w="70" w:type="dxa"/>
              <w:bottom w:w="70" w:type="dxa"/>
              <w:left w:w="80" w:type="dxa"/>
              <w:right w:w="80" w:type="dxa"/>
            </w:tcMar>
          </w:tcPr>
          <w:p>
            <w:pPr>
              <w:jc w:val="center"/>
            </w:pPr>
            <w:r>
              <w:rPr>
                <w:b/>
                <w:color w:val="1B365D"/>
                <w:sz w:val="17"/>
              </w:rPr>
              <w:t>5. 容器化與無伺服器雲端</w:t>
              <w:br/>
              <w:t>(DevOps &amp; Cloud Run)</w:t>
            </w:r>
          </w:p>
        </w:tc>
        <w:tc>
          <w:tcPr>
            <w:tcW w:type="dxa" w:w="2340"/>
            <w:shd w:fill="F7FAFC"/>
            <w:tcMar>
              <w:top w:w="70" w:type="dxa"/>
              <w:bottom w:w="70" w:type="dxa"/>
              <w:left w:w="80" w:type="dxa"/>
              <w:right w:w="80" w:type="dxa"/>
            </w:tcMar>
          </w:tcPr>
          <w:p>
            <w:r>
              <w:rPr>
                <w:color w:val="2D3748"/>
                <w:sz w:val="17"/>
              </w:rPr>
              <w:t>Docker</w:t>
              <w:br/>
              <w:t>Google Cloud Build</w:t>
              <w:br/>
              <w:t>Artifact Registry</w:t>
              <w:br/>
              <w:t>Cloud Run Jobs/Service</w:t>
            </w:r>
          </w:p>
        </w:tc>
        <w:tc>
          <w:tcPr>
            <w:tcW w:type="dxa" w:w="2340"/>
            <w:shd w:fill="F7FAFC"/>
            <w:tcMar>
              <w:top w:w="70" w:type="dxa"/>
              <w:bottom w:w="70" w:type="dxa"/>
              <w:left w:w="80" w:type="dxa"/>
              <w:right w:w="80" w:type="dxa"/>
            </w:tcMar>
          </w:tcPr>
          <w:p>
            <w:pPr>
              <w:jc w:val="center"/>
            </w:pPr>
            <w:r>
              <w:rPr>
                <w:color w:val="2D3748"/>
                <w:sz w:val="17"/>
              </w:rPr>
              <w:t>Docker (Debian-slim)</w:t>
              <w:br/>
              <w:t>Cloud Run Jobs</w:t>
              <w:br/>
              <w:t>Cloud Run Service (8080)</w:t>
            </w:r>
          </w:p>
        </w:tc>
        <w:tc>
          <w:tcPr>
            <w:tcW w:type="dxa" w:w="2340"/>
            <w:shd w:fill="F7FAFC"/>
            <w:tcMar>
              <w:top w:w="70" w:type="dxa"/>
              <w:bottom w:w="70" w:type="dxa"/>
              <w:left w:w="80" w:type="dxa"/>
              <w:right w:w="80" w:type="dxa"/>
            </w:tcMar>
          </w:tcPr>
          <w:p>
            <w:r>
              <w:rPr>
                <w:color w:val="2D3748"/>
                <w:sz w:val="17"/>
              </w:rPr>
              <w:t>無伺服器雙階架構：baseball-prepare 負責網路抓取快取；baseball-evaluate 分配 2 vCPU / 8 GiB 專職運算；Web 服務支援自動縮放並在 8080 提供服務。</w:t>
            </w:r>
          </w:p>
        </w:tc>
      </w:tr>
      <w:tr>
        <w:tc>
          <w:tcPr>
            <w:tcW w:type="dxa" w:w="2340"/>
            <w:shd w:fill="FFFFFF"/>
            <w:tcMar>
              <w:top w:w="70" w:type="dxa"/>
              <w:bottom w:w="70" w:type="dxa"/>
              <w:left w:w="80" w:type="dxa"/>
              <w:right w:w="80" w:type="dxa"/>
            </w:tcMar>
          </w:tcPr>
          <w:p>
            <w:pPr>
              <w:jc w:val="center"/>
            </w:pPr>
            <w:r>
              <w:rPr>
                <w:b/>
                <w:color w:val="1B365D"/>
                <w:sz w:val="17"/>
              </w:rPr>
              <w:t>6. 休息區人機介面與視覺化</w:t>
              <w:br/>
              <w:t>(Frontend &amp; Visualization)</w:t>
            </w:r>
          </w:p>
        </w:tc>
        <w:tc>
          <w:tcPr>
            <w:tcW w:type="dxa" w:w="2340"/>
            <w:shd w:fill="FFFFFF"/>
            <w:tcMar>
              <w:top w:w="70" w:type="dxa"/>
              <w:bottom w:w="70" w:type="dxa"/>
              <w:left w:w="80" w:type="dxa"/>
              <w:right w:w="80" w:type="dxa"/>
            </w:tcMar>
          </w:tcPr>
          <w:p>
            <w:r>
              <w:rPr>
                <w:color w:val="2D3748"/>
                <w:sz w:val="17"/>
              </w:rPr>
              <w:t>Streamlit</w:t>
              <w:br/>
              <w:t>Plotly Graph Objects</w:t>
              <w:br/>
              <w:t>Matplotlib / Seaborn</w:t>
            </w:r>
          </w:p>
        </w:tc>
        <w:tc>
          <w:tcPr>
            <w:tcW w:type="dxa" w:w="2340"/>
            <w:shd w:fill="FFFFFF"/>
            <w:tcMar>
              <w:top w:w="70" w:type="dxa"/>
              <w:bottom w:w="70" w:type="dxa"/>
              <w:left w:w="80" w:type="dxa"/>
              <w:right w:w="80" w:type="dxa"/>
            </w:tcMar>
          </w:tcPr>
          <w:p>
            <w:pPr>
              <w:jc w:val="center"/>
            </w:pPr>
            <w:r>
              <w:rPr>
                <w:color w:val="2D3748"/>
                <w:sz w:val="17"/>
              </w:rPr>
              <w:t>Streamlit &gt;= 1.30</w:t>
              <w:br/>
              <w:t>Plotly &gt;= 5.18</w:t>
              <w:br/>
              <w:t>Matplotlib &gt;= 3.8</w:t>
            </w:r>
          </w:p>
        </w:tc>
        <w:tc>
          <w:tcPr>
            <w:tcW w:type="dxa" w:w="2340"/>
            <w:shd w:fill="FFFFFF"/>
            <w:tcMar>
              <w:top w:w="70" w:type="dxa"/>
              <w:bottom w:w="70" w:type="dxa"/>
              <w:left w:w="80" w:type="dxa"/>
              <w:right w:w="80" w:type="dxa"/>
            </w:tcMar>
          </w:tcPr>
          <w:p>
            <w:r>
              <w:rPr>
                <w:color w:val="2D3748"/>
                <w:sz w:val="17"/>
              </w:rPr>
              <w:t>為教練團打造響應式 iPad 監控介面：包含四球種即時進度條、極坐標旋轉雷達圖、MSI 趨勢心電圖、四色調度 SOP 與論文級臨床個案診斷圖。</w:t>
            </w:r>
          </w:p>
        </w:tc>
      </w:tr>
    </w:tbl>
    <w:p>
      <w:pPr>
        <w:spacing w:after="160" w:line="276" w:lineRule="auto"/>
      </w:pPr>
    </w:p>
    <w:p>
      <w:pPr>
        <w:pStyle w:val="Heading2"/>
        <w:keepNext/>
        <w:spacing w:before="240" w:after="80"/>
      </w:pPr>
      <w:r>
        <w:rPr>
          <w:b/>
          <w:color w:val="2B6CB0"/>
          <w:sz w:val="26"/>
        </w:rPr>
        <w:t>8.2 軟體工程嚴謹度與品質保證 (QA &amp; Testing)</w:t>
      </w:r>
    </w:p>
    <w:p>
      <w:pPr>
        <w:spacing w:after="100" w:line="276" w:lineRule="auto"/>
      </w:pPr>
      <w:r>
        <w:rPr>
          <w:color w:val="2D3748"/>
          <w:sz w:val="20"/>
        </w:rPr>
        <w:t>除了運算與雲端架構外，程式碼庫嚴格執行現代軟體工程規範：</w:t>
      </w:r>
    </w:p>
    <w:p>
      <w:pPr>
        <w:pStyle w:val="ListBullet"/>
        <w:spacing w:after="60" w:line="276" w:lineRule="auto"/>
      </w:pPr>
      <w:r>
        <w:rPr>
          <w:b/>
          <w:color w:val="1A202C"/>
          <w:sz w:val="20"/>
        </w:rPr>
        <w:t>全自動化測試套件 (Pytest 21/21 Passed)：</w:t>
      </w:r>
      <w:r>
        <w:rPr>
          <w:color w:val="2D3748"/>
          <w:sz w:val="20"/>
        </w:rPr>
        <w:t>包含 21 項全自動化單元測試，涵蓋旋轉軸心幾何連續性、無未來洩漏防護、校準期隔離、主鍵唯一性與靴拔零分母安全機制，持續整合通過率 100%。</w:t>
      </w:r>
    </w:p>
    <w:p>
      <w:pPr>
        <w:pStyle w:val="ListBullet"/>
        <w:spacing w:after="60" w:line="276" w:lineRule="auto"/>
      </w:pPr>
      <w:r>
        <w:rPr>
          <w:b/>
          <w:color w:val="1A202C"/>
          <w:sz w:val="20"/>
        </w:rPr>
        <w:t>集中配置驗證 (Centralized Config Validation)：</w:t>
      </w:r>
      <w:r>
        <w:rPr>
          <w:color w:val="2D3748"/>
          <w:sz w:val="20"/>
        </w:rPr>
        <w:t>採用 Pydantic 與 PyYAML 進行集中式全域參數管理，杜絕魔法數字（Magic Numbers），確保所有模組共享一致的閥值與路徑規範。</w:t>
      </w:r>
    </w:p>
    <w:p>
      <w:pPr>
        <w:pStyle w:val="ListBullet"/>
        <w:spacing w:after="60" w:line="276" w:lineRule="auto"/>
      </w:pPr>
      <w:r>
        <w:rPr>
          <w:b/>
          <w:color w:val="1A202C"/>
          <w:sz w:val="20"/>
        </w:rPr>
        <w:t>數據血統與不可竄改性 (Data Provenance &amp; Auditability)：</w:t>
      </w:r>
      <w:r>
        <w:rPr>
          <w:color w:val="2D3748"/>
          <w:sz w:val="20"/>
        </w:rPr>
        <w:t>每次管線產出均產生不可竄改的 SHA-256 協議雜湊（protocol_manifest.json），並輸出 warehouse_integrity_report 嚴格稽核資料血統與引用完整性。</w:t>
      </w:r>
    </w:p>
    <w:p>
      <w:pPr>
        <w:pStyle w:val="Heading1"/>
        <w:keepNext/>
        <w:spacing w:before="360" w:after="120"/>
      </w:pPr>
      <w:r>
        <w:rPr>
          <w:b/>
          <w:color w:val="1B365D"/>
          <w:sz w:val="32"/>
        </w:rPr>
        <w:t>第 9 章：結論、科學邊界與未來展望 (Conclusion &amp; Epilogue)</w:t>
      </w:r>
    </w:p>
    <w:p>
      <w:pPr>
        <w:pStyle w:val="Heading2"/>
        <w:keepNext/>
        <w:spacing w:before="240" w:after="80"/>
      </w:pPr>
      <w:r>
        <w:rPr>
          <w:b/>
          <w:color w:val="2B6CB0"/>
          <w:sz w:val="26"/>
        </w:rPr>
        <w:t>9.1 結論與核心貢獻</w:t>
      </w:r>
    </w:p>
    <w:p>
      <w:pPr>
        <w:spacing w:after="100" w:line="276" w:lineRule="auto"/>
      </w:pPr>
      <w:r>
        <w:rPr>
          <w:color w:val="2D3748"/>
          <w:sz w:val="20"/>
        </w:rPr>
        <w:t>本研究成功證明：透過運動生物力學的精細幾何建模（圓周連續性投影與馬氏子空間分解），配合嚴謹無洩漏的時間序列統計檢定，能夠在測速槍毫無反應的情況下，提前 8.4 顆球精準捕捉大聯盟先發投手的機制瓦解信號。系統在 2025 凍結盲測中實現 1.45 倍的風險比提升，為現代職業棒球提供了超越定額用球數與測速槍的下一代投手管理範式。</w:t>
      </w:r>
    </w:p>
    <w:p>
      <w:pPr>
        <w:pStyle w:val="Heading2"/>
        <w:keepNext/>
        <w:spacing w:before="240" w:after="80"/>
      </w:pPr>
      <w:r>
        <w:rPr>
          <w:b/>
          <w:color w:val="2B6CB0"/>
          <w:sz w:val="26"/>
        </w:rPr>
        <w:t>9.2 科學誠實邊界宣告 (Scientific Boundary Disclosure)</w:t>
      </w:r>
    </w:p>
    <w:tbl>
      <w:tblPr>
        <w:tblW w:type="auto" w:w="0"/>
        <w:jc w:val="center"/>
        <w:tblLayout w:type="fixed"/>
        <w:tblLook w:firstColumn="1" w:firstRow="1" w:lastColumn="0" w:lastRow="0" w:noHBand="0" w:noVBand="1" w:val="04A0"/>
      </w:tblPr>
      <w:tblGrid>
        <w:gridCol w:w="9360"/>
      </w:tblGrid>
      <w:tr>
        <w:tc>
          <w:tcPr>
            <w:tcW w:type="dxa" w:w="9360"/>
            <w:shd w:fill="FFFDF0"/>
            <w:tcMar>
              <w:top w:w="140" w:type="dxa"/>
              <w:bottom w:w="140" w:type="dxa"/>
              <w:left w:w="180" w:type="dxa"/>
              <w:right w:w="180" w:type="dxa"/>
            </w:tcMar>
            <w:tcBorders>
              <w:left w:val="single" w:sz="24" w:space="0" w:color="D69E2E"/>
              <w:top w:val="none"/>
              <w:right w:val="none"/>
              <w:bottom w:val="none"/>
            </w:tcBorders>
          </w:tcPr>
          <w:p>
            <w:pPr>
              <w:spacing w:before="40" w:after="60"/>
            </w:pPr>
            <w:r>
              <w:rPr>
                <w:b/>
                <w:color w:val="1B365D"/>
                <w:sz w:val="21"/>
              </w:rPr>
              <w:t>📌 科學邊界宣告（Causality vs. Kinematic Association）</w:t>
              <w:br/>
            </w:r>
            <w:r>
              <w:rPr>
                <w:color w:val="2D3748"/>
                <w:sz w:val="19"/>
              </w:rPr>
              <w:t>本系統衡量的是「微觀運動學機制的統計漂移（Statistical Kinematic Drift）」，它是投手力學失穩的早期表徵，【絕非】直接測量肌肉乳酸堆積、肌纖維疲勞或尺骨附屬韌帶（UCL）微撕裂的生物醫學診斷工具。我們建立的是機制漂移與後續失分風險的高確信度關聯，在學術與實務上均堅守統計相關性與因果推論之嚴謹邊界。</w:t>
            </w:r>
          </w:p>
        </w:tc>
      </w:tr>
    </w:tbl>
    <w:p>
      <w:pPr>
        <w:spacing w:after="60"/>
      </w:pPr>
    </w:p>
    <w:p>
      <w:pPr>
        <w:pStyle w:val="Heading2"/>
        <w:keepNext/>
        <w:spacing w:before="240" w:after="80"/>
      </w:pPr>
      <w:r>
        <w:rPr>
          <w:b/>
          <w:color w:val="2B6CB0"/>
          <w:sz w:val="26"/>
        </w:rPr>
        <w:t>9.3 未來展望</w:t>
      </w:r>
    </w:p>
    <w:p>
      <w:pPr>
        <w:pStyle w:val="ListBullet"/>
        <w:spacing w:after="60" w:line="276" w:lineRule="auto"/>
      </w:pPr>
      <w:r>
        <w:rPr>
          <w:b/>
          <w:color w:val="1A202C"/>
          <w:sz w:val="20"/>
        </w:rPr>
        <w:t>關節級姿態估計整合 (Markerless Motion Capture)：</w:t>
      </w:r>
      <w:r>
        <w:rPr>
          <w:color w:val="2D3748"/>
          <w:sz w:val="20"/>
        </w:rPr>
        <w:t>大聯盟目前正積極普及 Hawk-Eye 全身 29 點骨架追蹤攝影機。未來可將本架構直接延伸至關節角（如前導膝彎曲角度、骨盆–軀幹分離角、肩外旋極值），實現關節級的微機制崩潰預警。</w:t>
      </w:r>
    </w:p>
    <w:p>
      <w:pPr>
        <w:pStyle w:val="ListBullet"/>
        <w:spacing w:after="60" w:line="276" w:lineRule="auto"/>
      </w:pPr>
      <w:r>
        <w:rPr>
          <w:b/>
          <w:color w:val="1A202C"/>
          <w:sz w:val="20"/>
        </w:rPr>
        <w:t>生理醫學與球團個人化校準 (Biomedical Calibration)：</w:t>
      </w:r>
      <w:r>
        <w:rPr>
          <w:color w:val="2D3748"/>
          <w:sz w:val="20"/>
        </w:rPr>
        <w:t>結合投手休季期的物理治療評估（如肩關節內外旋活動度 ROM、下肢肌力對稱性），為每位投手動態客製個人化的 CUSUM 鬆弛參數與衰減係數。</w:t>
      </w: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A0AEC0"/>
        <w:sz w:val="17"/>
      </w:rPr>
      <w:t>MLB 投手機制穩定度指數 (MSI) 早期崩潰預警系統</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718096"/>
        <w:sz w:val="17"/>
      </w:rPr>
      <w:t>MLB 投手機制穩定度指數 (MSI) 早期崩潰預警系統 | 專案技術報告</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