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odèle-physique-de-données-mpd"/>
    <w:p>
      <w:pPr>
        <w:pStyle w:val="Heading3"/>
      </w:pPr>
      <w:r>
        <w:t xml:space="preserve">Modèle Physique de Données (MPD)</w:t>
      </w:r>
    </w:p>
    <w:p>
      <w:pPr>
        <w:pStyle w:val="FirstParagraph"/>
      </w:pPr>
      <w:r>
        <w:t xml:space="preserve">Le MPD ci-dessous représente la structure physique réelle de la base PostgreSQL, telle que définie dans les classes Exposed (</w:t>
      </w:r>
      <w:r>
        <w:rPr>
          <w:rStyle w:val="VerbatimChar"/>
        </w:rPr>
        <w:t xml:space="preserve">EventTable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ContributionTable</w:t>
      </w:r>
      <w:r>
        <w:t xml:space="preserve">). Les tables sont créées automatiquement par</w:t>
      </w:r>
      <w:r>
        <w:t xml:space="preserve"> </w:t>
      </w:r>
      <w:r>
        <w:rPr>
          <w:rStyle w:val="VerbatimChar"/>
        </w:rPr>
        <w:t xml:space="preserve">SchemaUtils.createMissingTablesAndColumns</w:t>
      </w:r>
      <w:r>
        <w:t xml:space="preserve"> </w:t>
      </w:r>
      <w:r>
        <w:t xml:space="preserve">au démarrage de l’application.</w:t>
      </w:r>
    </w:p>
    <w:p>
      <w:pPr>
        <w:pStyle w:val="CaptionedFigure"/>
      </w:pPr>
      <w:r>
        <w:drawing>
          <wp:inline>
            <wp:extent cx="5334000" cy="5521294"/>
            <wp:effectExtent b="0" l="0" r="0" t="0"/>
            <wp:docPr descr="Modèle Physique de Données — HappyRow" title="" id="10" name="Picture"/>
            <a:graphic>
              <a:graphicData uri="http://schemas.openxmlformats.org/drawingml/2006/picture">
                <pic:pic>
                  <pic:nvPicPr>
                    <pic:cNvPr descr="mpd_diagr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1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Modèle Physique de Données — HappyRow</w:t>
      </w:r>
    </w:p>
    <w:p>
      <w:pPr>
        <w:pStyle w:val="BodyText"/>
      </w:pPr>
      <w:r>
        <w:t xml:space="preserve">Toutes les tables sont dans le schéma PostgreSQL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.</w:t>
      </w:r>
    </w:p>
    <w:bookmarkStart w:id="12" w:name="correspondance-mcd-mpd"/>
    <w:p>
      <w:pPr>
        <w:pStyle w:val="Heading4"/>
      </w:pPr>
      <w:r>
        <w:t xml:space="preserve">Correspondance MCD → MPD</w:t>
      </w:r>
    </w:p>
    <w:p>
      <w:pPr>
        <w:pStyle w:val="FirstParagraph"/>
      </w:pPr>
      <w:r>
        <w:t xml:space="preserve">Le passage du MCD au MPD conserve les mêmes 4 entités et les mêmes 4 relations. Les cardinalités 1:N se traduisent par des clés étrangères (FK) dans les tables enfants. Aucune table d’association supplémentaire n’est nécessaire : la table</w:t>
      </w:r>
      <w:r>
        <w:t xml:space="preserve"> </w:t>
      </w:r>
      <w:r>
        <w:rPr>
          <w:rStyle w:val="VerbatimChar"/>
        </w:rPr>
        <w:t xml:space="preserve">CONTRIBUTION</w:t>
      </w:r>
      <w:r>
        <w:t xml:space="preserve"> </w:t>
      </w:r>
      <w:r>
        <w:t xml:space="preserve">joue naturellement le rôle de table d’association entre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 avec un attribut propre (</w:t>
      </w:r>
      <w:r>
        <w:rPr>
          <w:rStyle w:val="VerbatimChar"/>
        </w:rPr>
        <w:t xml:space="preserve">quantity</w:t>
      </w:r>
      <w:r>
        <w:t xml:space="preserve">).</w:t>
      </w:r>
    </w:p>
    <w:bookmarkEnd w:id="12"/>
    <w:bookmarkStart w:id="13" w:name="contraintes-dintégrité"/>
    <w:p>
      <w:pPr>
        <w:pStyle w:val="Heading4"/>
      </w:pPr>
      <w:r>
        <w:t xml:space="preserve">Contraintes d’intégrité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498"/>
        <w:gridCol w:w="2568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Contrainte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Colonne(s)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Identifiant unique UUID généré automatiquement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EVENT.identifier</w:t>
            </w:r>
          </w:p>
        </w:tc>
        <w:tc>
          <w:tcPr/>
          <w:p>
            <w:pPr>
              <w:pStyle w:val="Compact"/>
            </w:pPr>
            <w:r>
              <w:t xml:space="preserve">Intégrité référentielle événement–participant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EVENT.identifier</w:t>
            </w:r>
          </w:p>
        </w:tc>
        <w:tc>
          <w:tcPr/>
          <w:p>
            <w:pPr>
              <w:pStyle w:val="Compact"/>
            </w:pPr>
            <w:r>
              <w:t xml:space="preserve">Intégrité référentielle événement–ressource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PARTICIPANT.id</w:t>
            </w:r>
          </w:p>
        </w:tc>
        <w:tc>
          <w:tcPr/>
          <w:p>
            <w:pPr>
              <w:pStyle w:val="Compact"/>
            </w:pPr>
            <w:r>
              <w:t xml:space="preserve">Intégrité référentielle participant–contribution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RESOURCE.id</w:t>
            </w:r>
          </w:p>
        </w:tc>
        <w:tc>
          <w:tcPr/>
          <w:p>
            <w:pPr>
              <w:pStyle w:val="Compact"/>
            </w:pPr>
            <w:r>
              <w:t xml:space="preserve">Intégrité référentielle ressource–contribution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(name, creator)</w:t>
            </w:r>
          </w:p>
        </w:tc>
        <w:tc>
          <w:tcPr/>
          <w:p>
            <w:pPr>
              <w:pStyle w:val="Compact"/>
            </w:pPr>
            <w:r>
              <w:t xml:space="preserve">Empêche les doublons de nom par organisateur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(user_email, event_id)</w:t>
            </w:r>
          </w:p>
        </w:tc>
        <w:tc>
          <w:tcPr/>
          <w:p>
            <w:pPr>
              <w:pStyle w:val="Compact"/>
            </w:pPr>
            <w:r>
              <w:t xml:space="preserve">Un utilisateur ne peut participer qu’une fois à un 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(participant_id, resource_id)</w:t>
            </w:r>
          </w:p>
        </w:tc>
        <w:tc>
          <w:tcPr/>
          <w:p>
            <w:pPr>
              <w:pStyle w:val="Compact"/>
            </w:pPr>
            <w:r>
              <w:t xml:space="preserve">Un participant ne peut contribuer qu’une fois par ressource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 &gt; 0</w:t>
            </w:r>
          </w:p>
        </w:tc>
        <w:tc>
          <w:tcPr/>
          <w:p>
            <w:pPr>
              <w:pStyle w:val="Compact"/>
            </w:pPr>
            <w:r>
              <w:t xml:space="preserve">Quantités strictement positives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'CONFIRMED'</w:t>
            </w:r>
          </w:p>
        </w:tc>
        <w:tc>
          <w:tcPr/>
          <w:p>
            <w:pPr>
              <w:pStyle w:val="Compact"/>
            </w:pPr>
            <w:r>
              <w:t xml:space="preserve">Statut initial d’un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 = 1</w:t>
            </w:r>
          </w:p>
        </w:tc>
        <w:tc>
          <w:tcPr/>
          <w:p>
            <w:pPr>
              <w:pStyle w:val="Compact"/>
            </w:pPr>
            <w:r>
              <w:t xml:space="preserve">Version initiale pour le verrou optimiste</w:t>
            </w:r>
          </w:p>
        </w:tc>
      </w:tr>
    </w:tbl>
    <w:bookmarkEnd w:id="13"/>
    <w:bookmarkStart w:id="14" w:name="index-de-performance"/>
    <w:p>
      <w:pPr>
        <w:pStyle w:val="Heading4"/>
      </w:pPr>
      <w:r>
        <w:t xml:space="preserve">Index de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386"/>
        <w:gridCol w:w="2376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Colonne(s)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uq_participant_user_event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user_email, event_id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Unicité + recherche rapide par email et 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idx_participant_user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Recherche par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idx_participant_event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Recherche par 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idx_resource_event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Recherche des ressources d’un événement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uq_contribution_participant_resource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participant_id, resource_id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Unicité + recherche rapide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idx_contribution_participant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Recherche par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idx_contribution_resource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Recherche par ressource</w:t>
            </w:r>
          </w:p>
        </w:tc>
      </w:tr>
    </w:tbl>
    <w:bookmarkEnd w:id="14"/>
    <w:bookmarkStart w:id="15" w:name="le-champ-version-verrou-optimiste"/>
    <w:p>
      <w:pPr>
        <w:pStyle w:val="Heading4"/>
      </w:pPr>
      <w:r>
        <w:t xml:space="preserve">Le champ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(verrou optimiste)</w:t>
      </w:r>
    </w:p>
    <w:p>
      <w:pPr>
        <w:pStyle w:val="FirstParagraph"/>
      </w:pPr>
      <w:r>
        <w:t xml:space="preserve">Le champ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de la table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est le mécanisme central du verrou optimiste. Il est incrémenté atomiquement à chaque modification de</w:t>
      </w:r>
      <w:r>
        <w:t xml:space="preserve"> </w:t>
      </w:r>
      <w:r>
        <w:rPr>
          <w:rStyle w:val="VerbatimChar"/>
        </w:rPr>
        <w:t xml:space="preserve">current_quantity</w:t>
      </w:r>
      <w:r>
        <w:t xml:space="preserve"> </w:t>
      </w:r>
      <w:r>
        <w:t xml:space="preserve">via un</w:t>
      </w:r>
      <w:r>
        <w:t xml:space="preserve"> </w:t>
      </w:r>
      <w:r>
        <w:rPr>
          <w:rStyle w:val="VerbatimChar"/>
        </w:rPr>
        <w:t xml:space="preserve">UPDATE ... WHERE version = expectedVersion</w:t>
      </w:r>
      <w:r>
        <w:t xml:space="preserve">. Si la version en base ne correspond plus à la version attendue (modification concurrente), l’UPDATE retourne 0 lignes et une</w:t>
      </w:r>
      <w:r>
        <w:t xml:space="preserve"> </w:t>
      </w:r>
      <w:r>
        <w:rPr>
          <w:rStyle w:val="VerbatimChar"/>
        </w:rPr>
        <w:t xml:space="preserve">OptimisticLockException</w:t>
      </w:r>
      <w:r>
        <w:t xml:space="preserve"> </w:t>
      </w:r>
      <w:r>
        <w:t xml:space="preserve">est levée, renvoyée au client comme HTTP 409 Conflict.</w:t>
      </w:r>
    </w:p>
    <w:p>
      <w:pPr>
        <w:pStyle w:val="BodyText"/>
      </w:pPr>
      <w:r>
        <w:t xml:space="preserve">Ce mécanisme est préféré à un verrou pessimiste (</w:t>
      </w:r>
      <w:r>
        <w:rPr>
          <w:rStyle w:val="VerbatimChar"/>
        </w:rPr>
        <w:t xml:space="preserve">SELECT FOR UPDATE</w:t>
      </w:r>
      <w:r>
        <w:t xml:space="preserve">) car il ne bloque pas les autres transactions, offrant de meilleures performances en contexte de concurrence faible à modérée.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2026-03-11T15:14:51Z</dcterms:created>
  <dcterms:modified xsi:type="dcterms:W3CDTF">2026-03-11T15:14:51Z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