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able-des-matières"/>
    <w:p>
      <w:pPr>
        <w:pStyle w:val="Heading1"/>
      </w:pPr>
      <w:r>
        <w:t xml:space="preserve">TABLE DES MATIÈRES</w:t>
      </w:r>
    </w:p>
    <w:bookmarkStart w:id="9" w:name="X2627946238528e6f8a4ee32a0d33db90e893c23"/>
    <w:p>
      <w:pPr>
        <w:pStyle w:val="Heading2"/>
      </w:pPr>
      <w:r>
        <w:t xml:space="preserve">DOSSIER PROFESSIONNEL - CONCEPTEUR DÉVELOPPEUR D’APPLICATIONS</w:t>
      </w:r>
    </w:p>
    <w:p>
      <w:pPr>
        <w:pStyle w:val="FirstParagraph"/>
      </w:pPr>
      <w:r>
        <w:rPr>
          <w:b/>
          <w:bCs/>
        </w:rPr>
        <w:t xml:space="preserve">Projet</w:t>
      </w:r>
      <w:r>
        <w:t xml:space="preserve"> </w:t>
      </w:r>
      <w:r>
        <w:t xml:space="preserve">: HappyRow Core - API Backend de gestion d’événements festifs</w:t>
      </w:r>
      <w:r>
        <w:br/>
      </w:r>
      <w:r>
        <w:rPr>
          <w:b/>
          <w:bCs/>
        </w:rPr>
        <w:t xml:space="preserve">Candidat</w:t>
      </w:r>
      <w:r>
        <w:t xml:space="preserve"> </w:t>
      </w:r>
      <w:r>
        <w:t xml:space="preserve">: [Votre Nom]</w:t>
      </w:r>
      <w:r>
        <w:br/>
      </w:r>
      <w:r>
        <w:rPr>
          <w:b/>
          <w:bCs/>
        </w:rPr>
        <w:t xml:space="preserve">Date</w:t>
      </w:r>
      <w:r>
        <w:t xml:space="preserve"> </w:t>
      </w:r>
      <w:r>
        <w:t xml:space="preserve">: Janvier 2026</w:t>
      </w:r>
    </w:p>
    <w:p>
      <w:r>
        <w:pict>
          <v:rect style="width:0;height:1.5pt" o:hralign="center" o:hrstd="t" o:hr="t"/>
        </w:pict>
      </w:r>
    </w:p>
    <w:bookmarkEnd w:id="9"/>
    <w:bookmarkStart w:id="22" w:name="partie-principale-127-pages"/>
    <w:p>
      <w:pPr>
        <w:pStyle w:val="Heading2"/>
      </w:pPr>
      <w:r>
        <w:t xml:space="preserve">PARTIE PRINCIPALE (127 pages)</w:t>
      </w:r>
    </w:p>
    <w:bookmarkStart w:id="10" w:name="Xe2e233eb760af201fe11afe962eee78be076d1e"/>
    <w:p>
      <w:pPr>
        <w:pStyle w:val="Heading3"/>
      </w:pPr>
      <w:r>
        <w:t xml:space="preserve">1. PRÉSENTATION DU CONTEXTE ET DE L’ENTREPRISE (8 pages)</w:t>
      </w:r>
    </w:p>
    <w:p>
      <w:pPr>
        <w:pStyle w:val="Compact"/>
        <w:numPr>
          <w:ilvl w:val="0"/>
          <w:numId w:val="1001"/>
        </w:numPr>
      </w:pPr>
      <w:r>
        <w:t xml:space="preserve">1.1 Contexte du projet</w:t>
      </w:r>
    </w:p>
    <w:p>
      <w:pPr>
        <w:pStyle w:val="Compact"/>
        <w:numPr>
          <w:ilvl w:val="1"/>
          <w:numId w:val="1002"/>
        </w:numPr>
      </w:pPr>
      <w:r>
        <w:t xml:space="preserve">1.1.1 Cadre de réalisation</w:t>
      </w:r>
    </w:p>
    <w:p>
      <w:pPr>
        <w:pStyle w:val="Compact"/>
        <w:numPr>
          <w:ilvl w:val="1"/>
          <w:numId w:val="1002"/>
        </w:numPr>
      </w:pPr>
      <w:r>
        <w:t xml:space="preserve">1.1.2 Origine du projet</w:t>
      </w:r>
    </w:p>
    <w:p>
      <w:pPr>
        <w:pStyle w:val="Compact"/>
        <w:numPr>
          <w:ilvl w:val="1"/>
          <w:numId w:val="1002"/>
        </w:numPr>
      </w:pPr>
      <w:r>
        <w:t xml:space="preserve">1.1.3 Public cible</w:t>
      </w:r>
    </w:p>
    <w:p>
      <w:pPr>
        <w:pStyle w:val="Compact"/>
        <w:numPr>
          <w:ilvl w:val="0"/>
          <w:numId w:val="1001"/>
        </w:numPr>
      </w:pPr>
      <w:r>
        <w:t xml:space="preserve">1.2 Environnement de développement</w:t>
      </w:r>
    </w:p>
    <w:p>
      <w:pPr>
        <w:pStyle w:val="Compact"/>
        <w:numPr>
          <w:ilvl w:val="1"/>
          <w:numId w:val="1003"/>
        </w:numPr>
      </w:pPr>
      <w:r>
        <w:t xml:space="preserve">1.2.1 Organisation du travail</w:t>
      </w:r>
    </w:p>
    <w:p>
      <w:pPr>
        <w:pStyle w:val="Compact"/>
        <w:numPr>
          <w:ilvl w:val="1"/>
          <w:numId w:val="1003"/>
        </w:numPr>
      </w:pPr>
      <w:r>
        <w:t xml:space="preserve">1.2.2 Infrastructure technique</w:t>
      </w:r>
    </w:p>
    <w:p>
      <w:pPr>
        <w:pStyle w:val="Compact"/>
        <w:numPr>
          <w:ilvl w:val="1"/>
          <w:numId w:val="1003"/>
        </w:numPr>
      </w:pPr>
      <w:r>
        <w:t xml:space="preserve">1.2.3 Budget et ressources</w:t>
      </w:r>
    </w:p>
    <w:p>
      <w:pPr>
        <w:pStyle w:val="Compact"/>
        <w:numPr>
          <w:ilvl w:val="0"/>
          <w:numId w:val="1001"/>
        </w:numPr>
      </w:pPr>
      <w:r>
        <w:t xml:space="preserve">1.3 Veille et préparation du projet</w:t>
      </w:r>
    </w:p>
    <w:p>
      <w:pPr>
        <w:pStyle w:val="Compact"/>
        <w:numPr>
          <w:ilvl w:val="1"/>
          <w:numId w:val="1004"/>
        </w:numPr>
      </w:pPr>
      <w:r>
        <w:t xml:space="preserve">1.3.1 Étude de l’existant</w:t>
      </w:r>
    </w:p>
    <w:p>
      <w:pPr>
        <w:pStyle w:val="Compact"/>
        <w:numPr>
          <w:ilvl w:val="1"/>
          <w:numId w:val="1004"/>
        </w:numPr>
      </w:pPr>
      <w:r>
        <w:t xml:space="preserve">1.3.2 Choix technologiques préliminaires</w:t>
      </w:r>
    </w:p>
    <w:p>
      <w:pPr>
        <w:pStyle w:val="Compact"/>
        <w:numPr>
          <w:ilvl w:val="1"/>
          <w:numId w:val="1004"/>
        </w:numPr>
      </w:pPr>
      <w:r>
        <w:t xml:space="preserve">1.3.3 Compétences mobilisées</w:t>
      </w:r>
    </w:p>
    <w:p>
      <w:pPr>
        <w:pStyle w:val="Compact"/>
        <w:numPr>
          <w:ilvl w:val="0"/>
          <w:numId w:val="1001"/>
        </w:numPr>
      </w:pPr>
      <w:r>
        <w:t xml:space="preserve">1.4 Cadre légal et conformité</w:t>
      </w:r>
    </w:p>
    <w:p>
      <w:pPr>
        <w:pStyle w:val="Compact"/>
        <w:numPr>
          <w:ilvl w:val="1"/>
          <w:numId w:val="1005"/>
        </w:numPr>
      </w:pPr>
      <w:r>
        <w:t xml:space="preserve">1.4.1 Propriété intellectuelle</w:t>
      </w:r>
    </w:p>
    <w:p>
      <w:pPr>
        <w:pStyle w:val="Compact"/>
        <w:numPr>
          <w:ilvl w:val="1"/>
          <w:numId w:val="1005"/>
        </w:numPr>
      </w:pPr>
      <w:r>
        <w:t xml:space="preserve">1.4.2 Protection des données (RGPD)</w:t>
      </w:r>
    </w:p>
    <w:p>
      <w:pPr>
        <w:pStyle w:val="Compact"/>
        <w:numPr>
          <w:ilvl w:val="1"/>
          <w:numId w:val="1005"/>
        </w:numPr>
      </w:pPr>
      <w:r>
        <w:t xml:space="preserve">1.4.3 Accessibilité et inclusivité</w:t>
      </w:r>
    </w:p>
    <w:p>
      <w:pPr>
        <w:pStyle w:val="Compact"/>
        <w:numPr>
          <w:ilvl w:val="0"/>
          <w:numId w:val="1001"/>
        </w:numPr>
      </w:pPr>
      <w:r>
        <w:t xml:space="preserve">1.5 Objectifs professionnels</w:t>
      </w:r>
    </w:p>
    <w:p>
      <w:pPr>
        <w:pStyle w:val="Compact"/>
        <w:numPr>
          <w:ilvl w:val="1"/>
          <w:numId w:val="1006"/>
        </w:numPr>
      </w:pPr>
      <w:r>
        <w:t xml:space="preserve">1.5.1 Objectifs pédagogiques</w:t>
      </w:r>
    </w:p>
    <w:p>
      <w:pPr>
        <w:pStyle w:val="Compact"/>
        <w:numPr>
          <w:ilvl w:val="1"/>
          <w:numId w:val="1006"/>
        </w:numPr>
      </w:pPr>
      <w:r>
        <w:t xml:space="preserve">1.5.2 Objectifs techniques</w:t>
      </w:r>
    </w:p>
    <w:p>
      <w:pPr>
        <w:pStyle w:val="Compact"/>
        <w:numPr>
          <w:ilvl w:val="1"/>
          <w:numId w:val="1006"/>
        </w:numPr>
      </w:pPr>
      <w:r>
        <w:t xml:space="preserve">1.5.3 Objectifs de carrière</w:t>
      </w:r>
    </w:p>
    <w:p>
      <w:pPr>
        <w:pStyle w:val="Compact"/>
        <w:numPr>
          <w:ilvl w:val="0"/>
          <w:numId w:val="1001"/>
        </w:numPr>
      </w:pPr>
      <w:r>
        <w:t xml:space="preserve">1.6 Présentation synthétique</w:t>
      </w:r>
    </w:p>
    <w:p>
      <w:pPr>
        <w:pStyle w:val="Compact"/>
        <w:numPr>
          <w:ilvl w:val="1"/>
          <w:numId w:val="1007"/>
        </w:numPr>
      </w:pPr>
      <w:r>
        <w:t xml:space="preserve">1.6.1 Fiche d’identité du projet</w:t>
      </w:r>
    </w:p>
    <w:p>
      <w:pPr>
        <w:pStyle w:val="Compact"/>
        <w:numPr>
          <w:ilvl w:val="1"/>
          <w:numId w:val="1007"/>
        </w:numPr>
      </w:pPr>
      <w:r>
        <w:t xml:space="preserve">1.6.2 Valeur du projet</w:t>
      </w:r>
    </w:p>
    <w:bookmarkEnd w:id="10"/>
    <w:bookmarkStart w:id="11" w:name="Xc4a70ab6966e846559d6f81902b85f8c62f04ad"/>
    <w:p>
      <w:pPr>
        <w:pStyle w:val="Heading3"/>
      </w:pPr>
      <w:r>
        <w:t xml:space="preserve">2. PRÉSENTATION DU PROJET HAPPYROW CORE (10 pages)</w:t>
      </w:r>
    </w:p>
    <w:p>
      <w:pPr>
        <w:pStyle w:val="Compact"/>
        <w:numPr>
          <w:ilvl w:val="0"/>
          <w:numId w:val="1008"/>
        </w:numPr>
      </w:pPr>
      <w:r>
        <w:t xml:space="preserve">2.1 Vision et objectifs du projet</w:t>
      </w:r>
    </w:p>
    <w:p>
      <w:pPr>
        <w:pStyle w:val="Compact"/>
        <w:numPr>
          <w:ilvl w:val="1"/>
          <w:numId w:val="1009"/>
        </w:numPr>
      </w:pPr>
      <w:r>
        <w:t xml:space="preserve">2.1.1 Vision générale</w:t>
      </w:r>
    </w:p>
    <w:p>
      <w:pPr>
        <w:pStyle w:val="Compact"/>
        <w:numPr>
          <w:ilvl w:val="1"/>
          <w:numId w:val="1009"/>
        </w:numPr>
      </w:pPr>
      <w:r>
        <w:t xml:space="preserve">2.1.2 Objectifs du projet</w:t>
      </w:r>
    </w:p>
    <w:p>
      <w:pPr>
        <w:pStyle w:val="Compact"/>
        <w:numPr>
          <w:ilvl w:val="0"/>
          <w:numId w:val="1008"/>
        </w:numPr>
      </w:pPr>
      <w:r>
        <w:t xml:space="preserve">2.2 Périmètre du projet</w:t>
      </w:r>
    </w:p>
    <w:p>
      <w:pPr>
        <w:pStyle w:val="Compact"/>
        <w:numPr>
          <w:ilvl w:val="1"/>
          <w:numId w:val="1010"/>
        </w:numPr>
      </w:pPr>
      <w:r>
        <w:t xml:space="preserve">2.2.1 Fonctionnalités incluses (MVP)</w:t>
      </w:r>
    </w:p>
    <w:p>
      <w:pPr>
        <w:pStyle w:val="Compact"/>
        <w:numPr>
          <w:ilvl w:val="1"/>
          <w:numId w:val="1010"/>
        </w:numPr>
      </w:pPr>
      <w:r>
        <w:t xml:space="preserve">2.2.2 Fonctionnalités exclues (hors périmètre MVP)</w:t>
      </w:r>
    </w:p>
    <w:p>
      <w:pPr>
        <w:pStyle w:val="Compact"/>
        <w:numPr>
          <w:ilvl w:val="1"/>
          <w:numId w:val="1010"/>
        </w:numPr>
      </w:pPr>
      <w:r>
        <w:t xml:space="preserve">2.2.3 Contraintes du projet</w:t>
      </w:r>
    </w:p>
    <w:p>
      <w:pPr>
        <w:pStyle w:val="Compact"/>
        <w:numPr>
          <w:ilvl w:val="0"/>
          <w:numId w:val="1008"/>
        </w:numPr>
      </w:pPr>
      <w:r>
        <w:t xml:space="preserve">2.3 Architecture fonctionnelle</w:t>
      </w:r>
    </w:p>
    <w:p>
      <w:pPr>
        <w:pStyle w:val="Compact"/>
        <w:numPr>
          <w:ilvl w:val="1"/>
          <w:numId w:val="1011"/>
        </w:numPr>
      </w:pPr>
      <w:r>
        <w:t xml:space="preserve">2.3.1 Modules fonctionnels</w:t>
      </w:r>
    </w:p>
    <w:p>
      <w:pPr>
        <w:pStyle w:val="Compact"/>
        <w:numPr>
          <w:ilvl w:val="1"/>
          <w:numId w:val="1011"/>
        </w:numPr>
      </w:pPr>
      <w:r>
        <w:t xml:space="preserve">2.3.2 Flux de données principal</w:t>
      </w:r>
    </w:p>
    <w:p>
      <w:pPr>
        <w:pStyle w:val="Compact"/>
        <w:numPr>
          <w:ilvl w:val="1"/>
          <w:numId w:val="1011"/>
        </w:numPr>
      </w:pPr>
      <w:r>
        <w:t xml:space="preserve">2.3.3 Modèle de domaine</w:t>
      </w:r>
    </w:p>
    <w:p>
      <w:pPr>
        <w:pStyle w:val="Compact"/>
        <w:numPr>
          <w:ilvl w:val="0"/>
          <w:numId w:val="1008"/>
        </w:numPr>
      </w:pPr>
      <w:r>
        <w:t xml:space="preserve">2.4 Technologies et stack technique</w:t>
      </w:r>
    </w:p>
    <w:p>
      <w:pPr>
        <w:pStyle w:val="Compact"/>
        <w:numPr>
          <w:ilvl w:val="1"/>
          <w:numId w:val="1012"/>
        </w:numPr>
      </w:pPr>
      <w:r>
        <w:t xml:space="preserve">2.4.1 Stack backend</w:t>
      </w:r>
    </w:p>
    <w:p>
      <w:pPr>
        <w:pStyle w:val="Compact"/>
        <w:numPr>
          <w:ilvl w:val="1"/>
          <w:numId w:val="1012"/>
        </w:numPr>
      </w:pPr>
      <w:r>
        <w:t xml:space="preserve">2.4.2 Stack DevOps</w:t>
      </w:r>
    </w:p>
    <w:p>
      <w:pPr>
        <w:pStyle w:val="Compact"/>
        <w:numPr>
          <w:ilvl w:val="1"/>
          <w:numId w:val="1012"/>
        </w:numPr>
      </w:pPr>
      <w:r>
        <w:t xml:space="preserve">2.4.3 Stack qualité et tests</w:t>
      </w:r>
    </w:p>
    <w:p>
      <w:pPr>
        <w:pStyle w:val="Compact"/>
        <w:numPr>
          <w:ilvl w:val="0"/>
          <w:numId w:val="1008"/>
        </w:numPr>
      </w:pPr>
      <w:r>
        <w:t xml:space="preserve">2.5 Livrables du projet</w:t>
      </w:r>
    </w:p>
    <w:p>
      <w:pPr>
        <w:pStyle w:val="Compact"/>
        <w:numPr>
          <w:ilvl w:val="1"/>
          <w:numId w:val="1013"/>
        </w:numPr>
      </w:pPr>
      <w:r>
        <w:t xml:space="preserve">2.5.1 Livrables techniques</w:t>
      </w:r>
    </w:p>
    <w:p>
      <w:pPr>
        <w:pStyle w:val="Compact"/>
        <w:numPr>
          <w:ilvl w:val="1"/>
          <w:numId w:val="1013"/>
        </w:numPr>
      </w:pPr>
      <w:r>
        <w:t xml:space="preserve">2.5.2 Livrables pédagogiques</w:t>
      </w:r>
    </w:p>
    <w:p>
      <w:pPr>
        <w:pStyle w:val="Compact"/>
        <w:numPr>
          <w:ilvl w:val="1"/>
          <w:numId w:val="1013"/>
        </w:numPr>
      </w:pPr>
      <w:r>
        <w:t xml:space="preserve">2.5.3 Métriques de succès</w:t>
      </w:r>
    </w:p>
    <w:p>
      <w:pPr>
        <w:pStyle w:val="Compact"/>
        <w:numPr>
          <w:ilvl w:val="0"/>
          <w:numId w:val="1008"/>
        </w:numPr>
      </w:pPr>
      <w:r>
        <w:t xml:space="preserve">2.6 Bénéfices attendus</w:t>
      </w:r>
    </w:p>
    <w:p>
      <w:pPr>
        <w:pStyle w:val="Compact"/>
        <w:numPr>
          <w:ilvl w:val="1"/>
          <w:numId w:val="1014"/>
        </w:numPr>
      </w:pPr>
      <w:r>
        <w:t xml:space="preserve">2.6.1 Pour les utilisateurs finaux</w:t>
      </w:r>
    </w:p>
    <w:p>
      <w:pPr>
        <w:pStyle w:val="Compact"/>
        <w:numPr>
          <w:ilvl w:val="1"/>
          <w:numId w:val="1014"/>
        </w:numPr>
      </w:pPr>
      <w:r>
        <w:t xml:space="preserve">2.6.2 Pour le développeur (candidat CDA)</w:t>
      </w:r>
    </w:p>
    <w:p>
      <w:pPr>
        <w:pStyle w:val="Compact"/>
        <w:numPr>
          <w:ilvl w:val="1"/>
          <w:numId w:val="1014"/>
        </w:numPr>
      </w:pPr>
      <w:r>
        <w:t xml:space="preserve">2.6.3 Pour la communauté</w:t>
      </w:r>
    </w:p>
    <w:bookmarkEnd w:id="11"/>
    <w:bookmarkStart w:id="12" w:name="cahier-des-charges-12-pages"/>
    <w:p>
      <w:pPr>
        <w:pStyle w:val="Heading3"/>
      </w:pPr>
      <w:r>
        <w:t xml:space="preserve">3. CAHIER DES CHARGES (12 pages)</w:t>
      </w:r>
    </w:p>
    <w:p>
      <w:pPr>
        <w:pStyle w:val="Compact"/>
        <w:numPr>
          <w:ilvl w:val="0"/>
          <w:numId w:val="1015"/>
        </w:numPr>
      </w:pPr>
      <w:r>
        <w:t xml:space="preserve">3.1 Expression des besoins</w:t>
      </w:r>
    </w:p>
    <w:p>
      <w:pPr>
        <w:pStyle w:val="Compact"/>
        <w:numPr>
          <w:ilvl w:val="1"/>
          <w:numId w:val="1016"/>
        </w:numPr>
      </w:pPr>
      <w:r>
        <w:t xml:space="preserve">3.1.1 Besoins fonctionnels</w:t>
      </w:r>
    </w:p>
    <w:p>
      <w:pPr>
        <w:pStyle w:val="Compact"/>
        <w:numPr>
          <w:ilvl w:val="1"/>
          <w:numId w:val="1016"/>
        </w:numPr>
      </w:pPr>
      <w:r>
        <w:t xml:space="preserve">3.1.2 Besoins non fonctionnels</w:t>
      </w:r>
    </w:p>
    <w:p>
      <w:pPr>
        <w:pStyle w:val="Compact"/>
        <w:numPr>
          <w:ilvl w:val="0"/>
          <w:numId w:val="1015"/>
        </w:numPr>
      </w:pPr>
      <w:r>
        <w:t xml:space="preserve">3.2 Spécifications fonctionnelles détaillées</w:t>
      </w:r>
    </w:p>
    <w:p>
      <w:pPr>
        <w:pStyle w:val="Compact"/>
        <w:numPr>
          <w:ilvl w:val="1"/>
          <w:numId w:val="1017"/>
        </w:numPr>
      </w:pPr>
      <w:r>
        <w:t xml:space="preserve">3.2.1 API REST Endpoints</w:t>
      </w:r>
    </w:p>
    <w:p>
      <w:pPr>
        <w:pStyle w:val="Compact"/>
        <w:numPr>
          <w:ilvl w:val="0"/>
          <w:numId w:val="1015"/>
        </w:numPr>
      </w:pPr>
      <w:r>
        <w:t xml:space="preserve">3.3 Contraintes techniques</w:t>
      </w:r>
    </w:p>
    <w:p>
      <w:pPr>
        <w:pStyle w:val="Compact"/>
        <w:numPr>
          <w:ilvl w:val="1"/>
          <w:numId w:val="1018"/>
        </w:numPr>
      </w:pPr>
      <w:r>
        <w:t xml:space="preserve">3.3.1 Contraintes d’architecture</w:t>
      </w:r>
    </w:p>
    <w:p>
      <w:pPr>
        <w:pStyle w:val="Compact"/>
        <w:numPr>
          <w:ilvl w:val="1"/>
          <w:numId w:val="1018"/>
        </w:numPr>
      </w:pPr>
      <w:r>
        <w:t xml:space="preserve">3.3.2 Contraintes de base de données</w:t>
      </w:r>
    </w:p>
    <w:p>
      <w:pPr>
        <w:pStyle w:val="Compact"/>
        <w:numPr>
          <w:ilvl w:val="1"/>
          <w:numId w:val="1018"/>
        </w:numPr>
      </w:pPr>
      <w:r>
        <w:t xml:space="preserve">3.3.3 Contraintes de sécurité</w:t>
      </w:r>
    </w:p>
    <w:p>
      <w:pPr>
        <w:pStyle w:val="Compact"/>
        <w:numPr>
          <w:ilvl w:val="0"/>
          <w:numId w:val="1015"/>
        </w:numPr>
      </w:pPr>
      <w:r>
        <w:t xml:space="preserve">3.4 Exigences de qualité</w:t>
      </w:r>
    </w:p>
    <w:p>
      <w:pPr>
        <w:pStyle w:val="Compact"/>
        <w:numPr>
          <w:ilvl w:val="1"/>
          <w:numId w:val="1019"/>
        </w:numPr>
      </w:pPr>
      <w:r>
        <w:t xml:space="preserve">3.4.1 Tests</w:t>
      </w:r>
    </w:p>
    <w:p>
      <w:pPr>
        <w:pStyle w:val="Compact"/>
        <w:numPr>
          <w:ilvl w:val="1"/>
          <w:numId w:val="1019"/>
        </w:numPr>
      </w:pPr>
      <w:r>
        <w:t xml:space="preserve">3.4.2 Qualité du code</w:t>
      </w:r>
    </w:p>
    <w:p>
      <w:pPr>
        <w:pStyle w:val="Compact"/>
        <w:numPr>
          <w:ilvl w:val="1"/>
          <w:numId w:val="1019"/>
        </w:numPr>
      </w:pPr>
      <w:r>
        <w:t xml:space="preserve">3.4.3 Documentation</w:t>
      </w:r>
    </w:p>
    <w:p>
      <w:pPr>
        <w:pStyle w:val="Compact"/>
        <w:numPr>
          <w:ilvl w:val="0"/>
          <w:numId w:val="1015"/>
        </w:numPr>
      </w:pPr>
      <w:r>
        <w:t xml:space="preserve">3.5 Environnements</w:t>
      </w:r>
    </w:p>
    <w:p>
      <w:pPr>
        <w:pStyle w:val="Compact"/>
        <w:numPr>
          <w:ilvl w:val="1"/>
          <w:numId w:val="1020"/>
        </w:numPr>
      </w:pPr>
      <w:r>
        <w:t xml:space="preserve">3.5.1 Environnement de développement</w:t>
      </w:r>
    </w:p>
    <w:p>
      <w:pPr>
        <w:pStyle w:val="Compact"/>
        <w:numPr>
          <w:ilvl w:val="1"/>
          <w:numId w:val="1020"/>
        </w:numPr>
      </w:pPr>
      <w:r>
        <w:t xml:space="preserve">3.5.2 Environnement de CI/CD</w:t>
      </w:r>
    </w:p>
    <w:p>
      <w:pPr>
        <w:pStyle w:val="Compact"/>
        <w:numPr>
          <w:ilvl w:val="1"/>
          <w:numId w:val="1020"/>
        </w:numPr>
      </w:pPr>
      <w:r>
        <w:t xml:space="preserve">3.5.3 Environnement de production</w:t>
      </w:r>
    </w:p>
    <w:p>
      <w:pPr>
        <w:pStyle w:val="Compact"/>
        <w:numPr>
          <w:ilvl w:val="0"/>
          <w:numId w:val="1015"/>
        </w:numPr>
      </w:pPr>
      <w:r>
        <w:t xml:space="preserve">3.6 Planning et jalons</w:t>
      </w:r>
    </w:p>
    <w:p>
      <w:pPr>
        <w:pStyle w:val="Compact"/>
        <w:numPr>
          <w:ilvl w:val="1"/>
          <w:numId w:val="1021"/>
        </w:numPr>
      </w:pPr>
      <w:r>
        <w:t xml:space="preserve">3.6.1 Phases du projet</w:t>
      </w:r>
    </w:p>
    <w:p>
      <w:pPr>
        <w:pStyle w:val="Compact"/>
        <w:numPr>
          <w:ilvl w:val="1"/>
          <w:numId w:val="1021"/>
        </w:numPr>
      </w:pPr>
      <w:r>
        <w:t xml:space="preserve">3.6.2 Jalons clés</w:t>
      </w:r>
    </w:p>
    <w:p>
      <w:pPr>
        <w:pStyle w:val="Compact"/>
        <w:numPr>
          <w:ilvl w:val="0"/>
          <w:numId w:val="1015"/>
        </w:numPr>
      </w:pPr>
      <w:r>
        <w:t xml:space="preserve">3.7 Risques et mitigation</w:t>
      </w:r>
    </w:p>
    <w:p>
      <w:pPr>
        <w:pStyle w:val="Compact"/>
        <w:numPr>
          <w:ilvl w:val="1"/>
          <w:numId w:val="1022"/>
        </w:numPr>
      </w:pPr>
      <w:r>
        <w:t xml:space="preserve">3.7.1 Risques techniques</w:t>
      </w:r>
    </w:p>
    <w:p>
      <w:pPr>
        <w:pStyle w:val="Compact"/>
        <w:numPr>
          <w:ilvl w:val="1"/>
          <w:numId w:val="1022"/>
        </w:numPr>
      </w:pPr>
      <w:r>
        <w:t xml:space="preserve">3.7.2 Risques organisationnels</w:t>
      </w:r>
    </w:p>
    <w:p>
      <w:pPr>
        <w:pStyle w:val="Compact"/>
        <w:numPr>
          <w:ilvl w:val="1"/>
          <w:numId w:val="1022"/>
        </w:numPr>
      </w:pPr>
      <w:r>
        <w:t xml:space="preserve">3.7.3 Risques infrastructure</w:t>
      </w:r>
    </w:p>
    <w:bookmarkEnd w:id="12"/>
    <w:bookmarkStart w:id="13" w:name="X7389de24b8018ae2940a9221bcda1f17cc9f718"/>
    <w:p>
      <w:pPr>
        <w:pStyle w:val="Heading3"/>
      </w:pPr>
      <w:r>
        <w:t xml:space="preserve">4. GESTION DE PROJET ET MÉTHODOLOGIE (10 pages)</w:t>
      </w:r>
    </w:p>
    <w:p>
      <w:pPr>
        <w:pStyle w:val="Compact"/>
        <w:numPr>
          <w:ilvl w:val="0"/>
          <w:numId w:val="1023"/>
        </w:numPr>
      </w:pPr>
      <w:r>
        <w:t xml:space="preserve">4.1 Méthodologie Agile appliquée</w:t>
      </w:r>
    </w:p>
    <w:p>
      <w:pPr>
        <w:pStyle w:val="Compact"/>
        <w:numPr>
          <w:ilvl w:val="1"/>
          <w:numId w:val="1024"/>
        </w:numPr>
      </w:pPr>
      <w:r>
        <w:t xml:space="preserve">4.1.1 Choix de la méthodologie</w:t>
      </w:r>
    </w:p>
    <w:p>
      <w:pPr>
        <w:pStyle w:val="Compact"/>
        <w:numPr>
          <w:ilvl w:val="1"/>
          <w:numId w:val="1024"/>
        </w:numPr>
      </w:pPr>
      <w:r>
        <w:t xml:space="preserve">4.1.2 Organisation des sprints</w:t>
      </w:r>
    </w:p>
    <w:p>
      <w:pPr>
        <w:pStyle w:val="Compact"/>
        <w:numPr>
          <w:ilvl w:val="1"/>
          <w:numId w:val="1024"/>
        </w:numPr>
      </w:pPr>
      <w:r>
        <w:t xml:space="preserve">4.1.3 Product Backlog initial</w:t>
      </w:r>
    </w:p>
    <w:p>
      <w:pPr>
        <w:pStyle w:val="Compact"/>
        <w:numPr>
          <w:ilvl w:val="0"/>
          <w:numId w:val="1023"/>
        </w:numPr>
      </w:pPr>
      <w:r>
        <w:t xml:space="preserve">4.2 Planification détaillée</w:t>
      </w:r>
    </w:p>
    <w:p>
      <w:pPr>
        <w:pStyle w:val="Compact"/>
        <w:numPr>
          <w:ilvl w:val="1"/>
          <w:numId w:val="1025"/>
        </w:numPr>
      </w:pPr>
      <w:r>
        <w:t xml:space="preserve">4.2.1 Sprint 0 : Setup et conception</w:t>
      </w:r>
    </w:p>
    <w:p>
      <w:pPr>
        <w:pStyle w:val="Compact"/>
        <w:numPr>
          <w:ilvl w:val="1"/>
          <w:numId w:val="1025"/>
        </w:numPr>
      </w:pPr>
      <w:r>
        <w:t xml:space="preserve">4.2.2 Sprint 1 : Domain Layer - Événements</w:t>
      </w:r>
    </w:p>
    <w:p>
      <w:pPr>
        <w:pStyle w:val="Compact"/>
        <w:numPr>
          <w:ilvl w:val="1"/>
          <w:numId w:val="1025"/>
        </w:numPr>
      </w:pPr>
      <w:r>
        <w:t xml:space="preserve">4.2.3 Sprint 2 : Infrastructure Layer - Événements</w:t>
      </w:r>
    </w:p>
    <w:p>
      <w:pPr>
        <w:pStyle w:val="Compact"/>
        <w:numPr>
          <w:ilvl w:val="1"/>
          <w:numId w:val="1025"/>
        </w:numPr>
      </w:pPr>
      <w:r>
        <w:t xml:space="preserve">4.2.4 Sprint 3 : Update/Delete Événements + Participants</w:t>
      </w:r>
    </w:p>
    <w:p>
      <w:pPr>
        <w:pStyle w:val="Compact"/>
        <w:numPr>
          <w:ilvl w:val="1"/>
          <w:numId w:val="1025"/>
        </w:numPr>
      </w:pPr>
      <w:r>
        <w:t xml:space="preserve">4.2.5 Sprint 4 : Ressources et Contributions</w:t>
      </w:r>
    </w:p>
    <w:p>
      <w:pPr>
        <w:pStyle w:val="Compact"/>
        <w:numPr>
          <w:ilvl w:val="1"/>
          <w:numId w:val="1025"/>
        </w:numPr>
      </w:pPr>
      <w:r>
        <w:t xml:space="preserve">4.2.6 Sprint 5 : Sécurité et Qualité</w:t>
      </w:r>
    </w:p>
    <w:p>
      <w:pPr>
        <w:pStyle w:val="Compact"/>
        <w:numPr>
          <w:ilvl w:val="1"/>
          <w:numId w:val="1025"/>
        </w:numPr>
      </w:pPr>
      <w:r>
        <w:t xml:space="preserve">4.2.7 Sprint 6 : DevOps et Déploiement</w:t>
      </w:r>
    </w:p>
    <w:p>
      <w:pPr>
        <w:pStyle w:val="Compact"/>
        <w:numPr>
          <w:ilvl w:val="1"/>
          <w:numId w:val="1025"/>
        </w:numPr>
      </w:pPr>
      <w:r>
        <w:t xml:space="preserve">4.2.8 Sprint 7 : Documentation et Tests finaux</w:t>
      </w:r>
    </w:p>
    <w:p>
      <w:pPr>
        <w:pStyle w:val="Compact"/>
        <w:numPr>
          <w:ilvl w:val="0"/>
          <w:numId w:val="1023"/>
        </w:numPr>
      </w:pPr>
      <w:r>
        <w:t xml:space="preserve">4.3 Outils de gestion de projet</w:t>
      </w:r>
    </w:p>
    <w:p>
      <w:pPr>
        <w:pStyle w:val="Compact"/>
        <w:numPr>
          <w:ilvl w:val="1"/>
          <w:numId w:val="1026"/>
        </w:numPr>
      </w:pPr>
      <w:r>
        <w:t xml:space="preserve">4.3.1 Gestion des tâches</w:t>
      </w:r>
    </w:p>
    <w:p>
      <w:pPr>
        <w:pStyle w:val="Compact"/>
        <w:numPr>
          <w:ilvl w:val="1"/>
          <w:numId w:val="1026"/>
        </w:numPr>
      </w:pPr>
      <w:r>
        <w:t xml:space="preserve">4.3.2 Gestion du code source</w:t>
      </w:r>
    </w:p>
    <w:p>
      <w:pPr>
        <w:pStyle w:val="Compact"/>
        <w:numPr>
          <w:ilvl w:val="1"/>
          <w:numId w:val="1026"/>
        </w:numPr>
      </w:pPr>
      <w:r>
        <w:t xml:space="preserve">4.3.3 Documentation technique</w:t>
      </w:r>
    </w:p>
    <w:p>
      <w:pPr>
        <w:pStyle w:val="Compact"/>
        <w:numPr>
          <w:ilvl w:val="0"/>
          <w:numId w:val="1023"/>
        </w:numPr>
      </w:pPr>
      <w:r>
        <w:t xml:space="preserve">4.4 Suivi et métriques</w:t>
      </w:r>
    </w:p>
    <w:p>
      <w:pPr>
        <w:pStyle w:val="Compact"/>
        <w:numPr>
          <w:ilvl w:val="1"/>
          <w:numId w:val="1027"/>
        </w:numPr>
      </w:pPr>
      <w:r>
        <w:t xml:space="preserve">4.4.1 Métriques de développement</w:t>
      </w:r>
    </w:p>
    <w:p>
      <w:pPr>
        <w:pStyle w:val="Compact"/>
        <w:numPr>
          <w:ilvl w:val="1"/>
          <w:numId w:val="1027"/>
        </w:numPr>
      </w:pPr>
      <w:r>
        <w:t xml:space="preserve">4.4.2 Métriques de qualité</w:t>
      </w:r>
    </w:p>
    <w:p>
      <w:pPr>
        <w:pStyle w:val="Compact"/>
        <w:numPr>
          <w:ilvl w:val="1"/>
          <w:numId w:val="1027"/>
        </w:numPr>
      </w:pPr>
      <w:r>
        <w:t xml:space="preserve">4.4.3 Métriques de déploiement</w:t>
      </w:r>
    </w:p>
    <w:p>
      <w:pPr>
        <w:pStyle w:val="Compact"/>
        <w:numPr>
          <w:ilvl w:val="0"/>
          <w:numId w:val="1023"/>
        </w:numPr>
      </w:pPr>
      <w:r>
        <w:t xml:space="preserve">4.5 Communication et collaboration</w:t>
      </w:r>
    </w:p>
    <w:p>
      <w:pPr>
        <w:pStyle w:val="Compact"/>
        <w:numPr>
          <w:ilvl w:val="1"/>
          <w:numId w:val="1028"/>
        </w:numPr>
      </w:pPr>
      <w:r>
        <w:t xml:space="preserve">4.5.1 Communication interne (solo)</w:t>
      </w:r>
    </w:p>
    <w:p>
      <w:pPr>
        <w:pStyle w:val="Compact"/>
        <w:numPr>
          <w:ilvl w:val="1"/>
          <w:numId w:val="1028"/>
        </w:numPr>
      </w:pPr>
      <w:r>
        <w:t xml:space="preserve">4.5.2 Communautés et support</w:t>
      </w:r>
    </w:p>
    <w:p>
      <w:pPr>
        <w:pStyle w:val="Compact"/>
        <w:numPr>
          <w:ilvl w:val="1"/>
          <w:numId w:val="1028"/>
        </w:numPr>
      </w:pPr>
      <w:r>
        <w:t xml:space="preserve">4.5.3 Documentation pour le jury CDA</w:t>
      </w:r>
    </w:p>
    <w:p>
      <w:pPr>
        <w:pStyle w:val="Compact"/>
        <w:numPr>
          <w:ilvl w:val="0"/>
          <w:numId w:val="1023"/>
        </w:numPr>
      </w:pPr>
      <w:r>
        <w:t xml:space="preserve">4.6 Gestion des changements</w:t>
      </w:r>
    </w:p>
    <w:p>
      <w:pPr>
        <w:pStyle w:val="Compact"/>
        <w:numPr>
          <w:ilvl w:val="1"/>
          <w:numId w:val="1029"/>
        </w:numPr>
      </w:pPr>
      <w:r>
        <w:t xml:space="preserve">4.6.1 Changements de périmètre</w:t>
      </w:r>
    </w:p>
    <w:p>
      <w:pPr>
        <w:pStyle w:val="Compact"/>
        <w:numPr>
          <w:ilvl w:val="1"/>
          <w:numId w:val="1029"/>
        </w:numPr>
      </w:pPr>
      <w:r>
        <w:t xml:space="preserve">4.6.2 Gestion des imprévus</w:t>
      </w:r>
    </w:p>
    <w:p>
      <w:pPr>
        <w:pStyle w:val="Compact"/>
        <w:numPr>
          <w:ilvl w:val="0"/>
          <w:numId w:val="1023"/>
        </w:numPr>
      </w:pPr>
      <w:r>
        <w:t xml:space="preserve">4.7 Bilan de la gestion de projet</w:t>
      </w:r>
    </w:p>
    <w:p>
      <w:pPr>
        <w:pStyle w:val="Compact"/>
        <w:numPr>
          <w:ilvl w:val="1"/>
          <w:numId w:val="1030"/>
        </w:numPr>
      </w:pPr>
      <w:r>
        <w:t xml:space="preserve">4.7.1 Points forts</w:t>
      </w:r>
    </w:p>
    <w:p>
      <w:pPr>
        <w:pStyle w:val="Compact"/>
        <w:numPr>
          <w:ilvl w:val="1"/>
          <w:numId w:val="1030"/>
        </w:numPr>
      </w:pPr>
      <w:r>
        <w:t xml:space="preserve">4.7.2 Axes d’amélioration</w:t>
      </w:r>
    </w:p>
    <w:p>
      <w:pPr>
        <w:pStyle w:val="Compact"/>
        <w:numPr>
          <w:ilvl w:val="1"/>
          <w:numId w:val="1030"/>
        </w:numPr>
      </w:pPr>
      <w:r>
        <w:t xml:space="preserve">4.7.3 Compétences développées</w:t>
      </w:r>
    </w:p>
    <w:bookmarkEnd w:id="13"/>
    <w:bookmarkStart w:id="14" w:name="spécifications-fonctionnelles-10-pages"/>
    <w:p>
      <w:pPr>
        <w:pStyle w:val="Heading3"/>
      </w:pPr>
      <w:r>
        <w:t xml:space="preserve">5. SPÉCIFICATIONS FONCTIONNELLES (10 pages)</w:t>
      </w:r>
    </w:p>
    <w:p>
      <w:pPr>
        <w:pStyle w:val="Compact"/>
        <w:numPr>
          <w:ilvl w:val="0"/>
          <w:numId w:val="1031"/>
        </w:numPr>
      </w:pPr>
      <w:r>
        <w:t xml:space="preserve">5.1 Présentation générale du projet</w:t>
      </w:r>
    </w:p>
    <w:p>
      <w:pPr>
        <w:pStyle w:val="Compact"/>
        <w:numPr>
          <w:ilvl w:val="1"/>
          <w:numId w:val="1032"/>
        </w:numPr>
      </w:pPr>
      <w:r>
        <w:t xml:space="preserve">5.1.1 Contexte et problématique</w:t>
      </w:r>
    </w:p>
    <w:p>
      <w:pPr>
        <w:pStyle w:val="Compact"/>
        <w:numPr>
          <w:ilvl w:val="1"/>
          <w:numId w:val="1032"/>
        </w:numPr>
      </w:pPr>
      <w:r>
        <w:t xml:space="preserve">5.1.2 Objectifs du projet</w:t>
      </w:r>
    </w:p>
    <w:p>
      <w:pPr>
        <w:pStyle w:val="Compact"/>
        <w:numPr>
          <w:ilvl w:val="1"/>
          <w:numId w:val="1032"/>
        </w:numPr>
      </w:pPr>
      <w:r>
        <w:t xml:space="preserve">5.1.3 Périmètre fonctionnel</w:t>
      </w:r>
    </w:p>
    <w:p>
      <w:pPr>
        <w:pStyle w:val="Compact"/>
        <w:numPr>
          <w:ilvl w:val="0"/>
          <w:numId w:val="1031"/>
        </w:numPr>
      </w:pPr>
      <w:r>
        <w:t xml:space="preserve">5.2 Architecture générale</w:t>
      </w:r>
    </w:p>
    <w:p>
      <w:pPr>
        <w:pStyle w:val="Compact"/>
        <w:numPr>
          <w:ilvl w:val="1"/>
          <w:numId w:val="1033"/>
        </w:numPr>
      </w:pPr>
      <w:r>
        <w:t xml:space="preserve">5.2.1 Architecture applicative</w:t>
      </w:r>
    </w:p>
    <w:p>
      <w:pPr>
        <w:pStyle w:val="Compact"/>
        <w:numPr>
          <w:ilvl w:val="1"/>
          <w:numId w:val="1033"/>
        </w:numPr>
      </w:pPr>
      <w:r>
        <w:t xml:space="preserve">5.2.2 Architecture hexagonale (Ports &amp; Adapters)</w:t>
      </w:r>
    </w:p>
    <w:p>
      <w:pPr>
        <w:pStyle w:val="Compact"/>
        <w:numPr>
          <w:ilvl w:val="1"/>
          <w:numId w:val="1033"/>
        </w:numPr>
      </w:pPr>
      <w:r>
        <w:t xml:space="preserve">5.2.3 Flux de données</w:t>
      </w:r>
    </w:p>
    <w:p>
      <w:pPr>
        <w:pStyle w:val="Compact"/>
        <w:numPr>
          <w:ilvl w:val="0"/>
          <w:numId w:val="1031"/>
        </w:numPr>
      </w:pPr>
      <w:r>
        <w:t xml:space="preserve">5.3 API REST - Endpoints</w:t>
      </w:r>
    </w:p>
    <w:p>
      <w:pPr>
        <w:pStyle w:val="Compact"/>
        <w:numPr>
          <w:ilvl w:val="1"/>
          <w:numId w:val="1034"/>
        </w:numPr>
      </w:pPr>
      <w:r>
        <w:t xml:space="preserve">5.3.1 Événements (Events)</w:t>
      </w:r>
    </w:p>
    <w:p>
      <w:pPr>
        <w:pStyle w:val="Compact"/>
        <w:numPr>
          <w:ilvl w:val="1"/>
          <w:numId w:val="1034"/>
        </w:numPr>
      </w:pPr>
      <w:r>
        <w:t xml:space="preserve">5.3.2 Participants</w:t>
      </w:r>
    </w:p>
    <w:p>
      <w:pPr>
        <w:pStyle w:val="Compact"/>
        <w:numPr>
          <w:ilvl w:val="1"/>
          <w:numId w:val="1034"/>
        </w:numPr>
      </w:pPr>
      <w:r>
        <w:t xml:space="preserve">5.3.3 Ressources</w:t>
      </w:r>
    </w:p>
    <w:p>
      <w:pPr>
        <w:pStyle w:val="Compact"/>
        <w:numPr>
          <w:ilvl w:val="1"/>
          <w:numId w:val="1034"/>
        </w:numPr>
      </w:pPr>
      <w:r>
        <w:t xml:space="preserve">5.3.4 Contributions</w:t>
      </w:r>
    </w:p>
    <w:p>
      <w:pPr>
        <w:pStyle w:val="Compact"/>
        <w:numPr>
          <w:ilvl w:val="0"/>
          <w:numId w:val="1031"/>
        </w:numPr>
      </w:pPr>
      <w:r>
        <w:t xml:space="preserve">5.4 Modèle de données</w:t>
      </w:r>
    </w:p>
    <w:p>
      <w:pPr>
        <w:pStyle w:val="Compact"/>
        <w:numPr>
          <w:ilvl w:val="1"/>
          <w:numId w:val="1035"/>
        </w:numPr>
      </w:pPr>
      <w:r>
        <w:t xml:space="preserve">5.4.1 Schéma de base de données</w:t>
      </w:r>
    </w:p>
    <w:p>
      <w:pPr>
        <w:pStyle w:val="Compact"/>
        <w:numPr>
          <w:ilvl w:val="1"/>
          <w:numId w:val="1035"/>
        </w:numPr>
      </w:pPr>
      <w:r>
        <w:t xml:space="preserve">5.4.2 Entités principales</w:t>
      </w:r>
    </w:p>
    <w:p>
      <w:pPr>
        <w:pStyle w:val="Compact"/>
        <w:numPr>
          <w:ilvl w:val="1"/>
          <w:numId w:val="1035"/>
        </w:numPr>
      </w:pPr>
      <w:r>
        <w:t xml:space="preserve">5.4.3 Relations et contraintes</w:t>
      </w:r>
    </w:p>
    <w:p>
      <w:pPr>
        <w:pStyle w:val="Compact"/>
        <w:numPr>
          <w:ilvl w:val="0"/>
          <w:numId w:val="1031"/>
        </w:numPr>
      </w:pPr>
      <w:r>
        <w:t xml:space="preserve">5.5 Scripts de base de données</w:t>
      </w:r>
    </w:p>
    <w:p>
      <w:pPr>
        <w:pStyle w:val="Compact"/>
        <w:numPr>
          <w:ilvl w:val="1"/>
          <w:numId w:val="1036"/>
        </w:numPr>
      </w:pPr>
      <w:r>
        <w:t xml:space="preserve">5.5.1 Script d’initialisation</w:t>
      </w:r>
    </w:p>
    <w:p>
      <w:pPr>
        <w:pStyle w:val="Compact"/>
        <w:numPr>
          <w:ilvl w:val="1"/>
          <w:numId w:val="1036"/>
        </w:numPr>
      </w:pPr>
      <w:r>
        <w:t xml:space="preserve">5.5.2 Migrations</w:t>
      </w:r>
    </w:p>
    <w:p>
      <w:pPr>
        <w:pStyle w:val="Compact"/>
        <w:numPr>
          <w:ilvl w:val="0"/>
          <w:numId w:val="1031"/>
        </w:numPr>
      </w:pPr>
      <w:r>
        <w:t xml:space="preserve">5.6 Diagrammes UML</w:t>
      </w:r>
    </w:p>
    <w:p>
      <w:pPr>
        <w:pStyle w:val="Compact"/>
        <w:numPr>
          <w:ilvl w:val="1"/>
          <w:numId w:val="1037"/>
        </w:numPr>
      </w:pPr>
      <w:r>
        <w:t xml:space="preserve">5.6.1 Diagramme de classes (Domain)</w:t>
      </w:r>
    </w:p>
    <w:p>
      <w:pPr>
        <w:pStyle w:val="Compact"/>
        <w:numPr>
          <w:ilvl w:val="1"/>
          <w:numId w:val="1037"/>
        </w:numPr>
      </w:pPr>
      <w:r>
        <w:t xml:space="preserve">5.6.2 Diagramme de séquence (Création d’événement)</w:t>
      </w:r>
    </w:p>
    <w:p>
      <w:pPr>
        <w:pStyle w:val="Compact"/>
        <w:numPr>
          <w:ilvl w:val="1"/>
          <w:numId w:val="1037"/>
        </w:numPr>
      </w:pPr>
      <w:r>
        <w:t xml:space="preserve">5.6.3 Diagramme d’activité</w:t>
      </w:r>
    </w:p>
    <w:p>
      <w:pPr>
        <w:pStyle w:val="Compact"/>
        <w:numPr>
          <w:ilvl w:val="1"/>
          <w:numId w:val="1037"/>
        </w:numPr>
      </w:pPr>
      <w:r>
        <w:t xml:space="preserve">5.6.4 Diagramme de cas d’utilisation</w:t>
      </w:r>
    </w:p>
    <w:bookmarkEnd w:id="14"/>
    <w:bookmarkStart w:id="15" w:name="spécifications-techniques-12-pages"/>
    <w:p>
      <w:pPr>
        <w:pStyle w:val="Heading3"/>
      </w:pPr>
      <w:r>
        <w:t xml:space="preserve">6. SPÉCIFICATIONS TECHNIQUES (12 pages)</w:t>
      </w:r>
    </w:p>
    <w:p>
      <w:pPr>
        <w:pStyle w:val="Compact"/>
        <w:numPr>
          <w:ilvl w:val="0"/>
          <w:numId w:val="1038"/>
        </w:numPr>
      </w:pPr>
      <w:r>
        <w:t xml:space="preserve">6.1 Environnement de développement</w:t>
      </w:r>
    </w:p>
    <w:p>
      <w:pPr>
        <w:pStyle w:val="Compact"/>
        <w:numPr>
          <w:ilvl w:val="1"/>
          <w:numId w:val="1039"/>
        </w:numPr>
      </w:pPr>
      <w:r>
        <w:t xml:space="preserve">6.1.1 Configuration du poste de développement</w:t>
      </w:r>
    </w:p>
    <w:p>
      <w:pPr>
        <w:pStyle w:val="Compact"/>
        <w:numPr>
          <w:ilvl w:val="1"/>
          <w:numId w:val="1039"/>
        </w:numPr>
      </w:pPr>
      <w:r>
        <w:t xml:space="preserve">6.1.2 Structure du projet Gradle</w:t>
      </w:r>
    </w:p>
    <w:p>
      <w:pPr>
        <w:pStyle w:val="Compact"/>
        <w:numPr>
          <w:ilvl w:val="1"/>
          <w:numId w:val="1039"/>
        </w:numPr>
      </w:pPr>
      <w:r>
        <w:t xml:space="preserve">6.1.3 Configuration Docker</w:t>
      </w:r>
    </w:p>
    <w:p>
      <w:pPr>
        <w:pStyle w:val="Compact"/>
        <w:numPr>
          <w:ilvl w:val="1"/>
          <w:numId w:val="1039"/>
        </w:numPr>
      </w:pPr>
      <w:r>
        <w:t xml:space="preserve">6.1.4 Configuration de la base de données</w:t>
      </w:r>
    </w:p>
    <w:p>
      <w:pPr>
        <w:pStyle w:val="Compact"/>
        <w:numPr>
          <w:ilvl w:val="1"/>
          <w:numId w:val="1039"/>
        </w:numPr>
      </w:pPr>
      <w:r>
        <w:t xml:space="preserve">6.1.5 Outils de qualité de code</w:t>
      </w:r>
    </w:p>
    <w:p>
      <w:pPr>
        <w:pStyle w:val="Compact"/>
        <w:numPr>
          <w:ilvl w:val="1"/>
          <w:numId w:val="1039"/>
        </w:numPr>
      </w:pPr>
      <w:r>
        <w:t xml:space="preserve">6.1.6 Gestion des versions Git</w:t>
      </w:r>
    </w:p>
    <w:p>
      <w:pPr>
        <w:pStyle w:val="Compact"/>
        <w:numPr>
          <w:ilvl w:val="0"/>
          <w:numId w:val="1038"/>
        </w:numPr>
      </w:pPr>
      <w:r>
        <w:t xml:space="preserve">6.2 Composants développés</w:t>
      </w:r>
    </w:p>
    <w:p>
      <w:pPr>
        <w:pStyle w:val="Compact"/>
        <w:numPr>
          <w:ilvl w:val="1"/>
          <w:numId w:val="1040"/>
        </w:numPr>
      </w:pPr>
      <w:r>
        <w:t xml:space="preserve">6.2.1 Architecture des packages</w:t>
      </w:r>
    </w:p>
    <w:p>
      <w:pPr>
        <w:pStyle w:val="Compact"/>
        <w:numPr>
          <w:ilvl w:val="1"/>
          <w:numId w:val="1040"/>
        </w:numPr>
      </w:pPr>
      <w:r>
        <w:t xml:space="preserve">6.2.2 Couche Domain</w:t>
      </w:r>
    </w:p>
    <w:p>
      <w:pPr>
        <w:pStyle w:val="Compact"/>
        <w:numPr>
          <w:ilvl w:val="1"/>
          <w:numId w:val="1040"/>
        </w:numPr>
      </w:pPr>
      <w:r>
        <w:t xml:space="preserve">6.2.3 Couche Infrastructure - Adaptateurs driving</w:t>
      </w:r>
    </w:p>
    <w:p>
      <w:pPr>
        <w:pStyle w:val="Compact"/>
        <w:numPr>
          <w:ilvl w:val="1"/>
          <w:numId w:val="1040"/>
        </w:numPr>
      </w:pPr>
      <w:r>
        <w:t xml:space="preserve">6.2.4 Couche Infrastructure - Adaptateurs driven</w:t>
      </w:r>
    </w:p>
    <w:p>
      <w:pPr>
        <w:pStyle w:val="Compact"/>
        <w:numPr>
          <w:ilvl w:val="1"/>
          <w:numId w:val="1040"/>
        </w:numPr>
      </w:pPr>
      <w:r>
        <w:t xml:space="preserve">6.2.5 DTOs et mapping</w:t>
      </w:r>
    </w:p>
    <w:p>
      <w:pPr>
        <w:pStyle w:val="Compact"/>
        <w:numPr>
          <w:ilvl w:val="1"/>
          <w:numId w:val="1040"/>
        </w:numPr>
      </w:pPr>
      <w:r>
        <w:t xml:space="preserve">6.2.6 Tables Exposed ORM</w:t>
      </w:r>
    </w:p>
    <w:p>
      <w:pPr>
        <w:pStyle w:val="Compact"/>
        <w:numPr>
          <w:ilvl w:val="1"/>
          <w:numId w:val="1040"/>
        </w:numPr>
      </w:pPr>
      <w:r>
        <w:t xml:space="preserve">6.2.7 Injection de dépendances (Koin)</w:t>
      </w:r>
    </w:p>
    <w:p>
      <w:pPr>
        <w:pStyle w:val="Compact"/>
        <w:numPr>
          <w:ilvl w:val="1"/>
          <w:numId w:val="1040"/>
        </w:numPr>
      </w:pPr>
      <w:r>
        <w:t xml:space="preserve">6.2.8 Configuration Ktor</w:t>
      </w:r>
    </w:p>
    <w:p>
      <w:pPr>
        <w:pStyle w:val="Compact"/>
        <w:numPr>
          <w:ilvl w:val="0"/>
          <w:numId w:val="1038"/>
        </w:numPr>
      </w:pPr>
      <w:r>
        <w:t xml:space="preserve">6.3 Stratégie de sécurité</w:t>
      </w:r>
    </w:p>
    <w:p>
      <w:pPr>
        <w:pStyle w:val="Compact"/>
        <w:numPr>
          <w:ilvl w:val="1"/>
          <w:numId w:val="1041"/>
        </w:numPr>
      </w:pPr>
      <w:r>
        <w:t xml:space="preserve">6.3.1 Sécurité de la couche Présentation</w:t>
      </w:r>
    </w:p>
    <w:p>
      <w:pPr>
        <w:pStyle w:val="Compact"/>
        <w:numPr>
          <w:ilvl w:val="1"/>
          <w:numId w:val="1041"/>
        </w:numPr>
      </w:pPr>
      <w:r>
        <w:t xml:space="preserve">6.3.2 Sécurité de la base de données</w:t>
      </w:r>
    </w:p>
    <w:p>
      <w:pPr>
        <w:pStyle w:val="Compact"/>
        <w:numPr>
          <w:ilvl w:val="1"/>
          <w:numId w:val="1041"/>
        </w:numPr>
      </w:pPr>
      <w:r>
        <w:t xml:space="preserve">6.3.3 Sécurité du déploiement Render</w:t>
      </w:r>
    </w:p>
    <w:bookmarkEnd w:id="15"/>
    <w:bookmarkStart w:id="16" w:name="Xec542c1e80f2ef398fb2e1a86782cf2b6db2cab"/>
    <w:p>
      <w:pPr>
        <w:pStyle w:val="Heading3"/>
      </w:pPr>
      <w:r>
        <w:t xml:space="preserve">7. RÉALISATIONS ET EXTRAITS DE CODE (15 pages)</w:t>
      </w:r>
    </w:p>
    <w:p>
      <w:pPr>
        <w:pStyle w:val="Compact"/>
        <w:numPr>
          <w:ilvl w:val="0"/>
          <w:numId w:val="1042"/>
        </w:numPr>
      </w:pPr>
      <w:r>
        <w:t xml:space="preserve">7.1 Interfaces utilisateur / API REST</w:t>
      </w:r>
    </w:p>
    <w:p>
      <w:pPr>
        <w:pStyle w:val="Compact"/>
        <w:numPr>
          <w:ilvl w:val="1"/>
          <w:numId w:val="1043"/>
        </w:numPr>
      </w:pPr>
      <w:r>
        <w:t xml:space="preserve">7.1.1 Agrégation des endpoints Event</w:t>
      </w:r>
    </w:p>
    <w:p>
      <w:pPr>
        <w:pStyle w:val="Compact"/>
        <w:numPr>
          <w:ilvl w:val="1"/>
          <w:numId w:val="1043"/>
        </w:numPr>
      </w:pPr>
      <w:r>
        <w:t xml:space="preserve">7.1.2 Endpoint de création d’événement</w:t>
      </w:r>
    </w:p>
    <w:p>
      <w:pPr>
        <w:pStyle w:val="Compact"/>
        <w:numPr>
          <w:ilvl w:val="1"/>
          <w:numId w:val="1043"/>
        </w:numPr>
      </w:pPr>
      <w:r>
        <w:t xml:space="preserve">7.1.3 Endpoint de récupération des événements</w:t>
      </w:r>
    </w:p>
    <w:p>
      <w:pPr>
        <w:pStyle w:val="Compact"/>
        <w:numPr>
          <w:ilvl w:val="0"/>
          <w:numId w:val="1042"/>
        </w:numPr>
      </w:pPr>
      <w:r>
        <w:t xml:space="preserve">7.2 Composants métier (Use Cases)</w:t>
      </w:r>
    </w:p>
    <w:p>
      <w:pPr>
        <w:pStyle w:val="Compact"/>
        <w:numPr>
          <w:ilvl w:val="1"/>
          <w:numId w:val="1044"/>
        </w:numPr>
      </w:pPr>
      <w:r>
        <w:t xml:space="preserve">7.2.1 Use Case - Création d’événement</w:t>
      </w:r>
    </w:p>
    <w:p>
      <w:pPr>
        <w:pStyle w:val="Compact"/>
        <w:numPr>
          <w:ilvl w:val="1"/>
          <w:numId w:val="1044"/>
        </w:numPr>
      </w:pPr>
      <w:r>
        <w:t xml:space="preserve">7.2.2 Use Case - Récupération des événements par organisateur</w:t>
      </w:r>
    </w:p>
    <w:p>
      <w:pPr>
        <w:pStyle w:val="Compact"/>
        <w:numPr>
          <w:ilvl w:val="0"/>
          <w:numId w:val="1042"/>
        </w:numPr>
      </w:pPr>
      <w:r>
        <w:t xml:space="preserve">7.3 Composants d’accès aux données (Repositories)</w:t>
      </w:r>
    </w:p>
    <w:p>
      <w:pPr>
        <w:pStyle w:val="Compact"/>
        <w:numPr>
          <w:ilvl w:val="1"/>
          <w:numId w:val="1045"/>
        </w:numPr>
      </w:pPr>
      <w:r>
        <w:t xml:space="preserve">7.3.1 Repository SQL - EventRepository</w:t>
      </w:r>
    </w:p>
    <w:p>
      <w:pPr>
        <w:pStyle w:val="Compact"/>
        <w:numPr>
          <w:ilvl w:val="0"/>
          <w:numId w:val="1042"/>
        </w:numPr>
      </w:pPr>
      <w:r>
        <w:t xml:space="preserve">7.4 Autres composants</w:t>
      </w:r>
    </w:p>
    <w:p>
      <w:pPr>
        <w:pStyle w:val="Compact"/>
        <w:numPr>
          <w:ilvl w:val="1"/>
          <w:numId w:val="1046"/>
        </w:numPr>
      </w:pPr>
      <w:r>
        <w:t xml:space="preserve">7.4.1 Configuration Jackson pour la sérialisation JSON</w:t>
      </w:r>
    </w:p>
    <w:p>
      <w:pPr>
        <w:pStyle w:val="Compact"/>
        <w:numPr>
          <w:ilvl w:val="1"/>
          <w:numId w:val="1046"/>
        </w:numPr>
      </w:pPr>
      <w:r>
        <w:t xml:space="preserve">7.4.2 Module d’injection de dépendances - Domain</w:t>
      </w:r>
    </w:p>
    <w:p>
      <w:pPr>
        <w:pStyle w:val="Compact"/>
        <w:numPr>
          <w:ilvl w:val="1"/>
          <w:numId w:val="1046"/>
        </w:numPr>
      </w:pPr>
      <w:r>
        <w:t xml:space="preserve">7.4.3 Utilitaire de logging et réponse HTTP</w:t>
      </w:r>
    </w:p>
    <w:p>
      <w:pPr>
        <w:pStyle w:val="Compact"/>
        <w:numPr>
          <w:ilvl w:val="1"/>
          <w:numId w:val="1046"/>
        </w:numPr>
      </w:pPr>
      <w:r>
        <w:t xml:space="preserve">7.4.4 Initialisation automatique de la base de données</w:t>
      </w:r>
    </w:p>
    <w:p>
      <w:pPr>
        <w:pStyle w:val="Compact"/>
        <w:numPr>
          <w:ilvl w:val="0"/>
          <w:numId w:val="1042"/>
        </w:numPr>
      </w:pPr>
      <w:r>
        <w:t xml:space="preserve">7.5 Synthèse des compétences démontrées</w:t>
      </w:r>
    </w:p>
    <w:bookmarkEnd w:id="16"/>
    <w:bookmarkStart w:id="17" w:name="éléments-de-sécurité-18-pages"/>
    <w:p>
      <w:pPr>
        <w:pStyle w:val="Heading3"/>
      </w:pPr>
      <w:r>
        <w:t xml:space="preserve">8. ÉLÉMENTS DE SÉCURITÉ (18 pages)</w:t>
      </w:r>
    </w:p>
    <w:p>
      <w:pPr>
        <w:pStyle w:val="Compact"/>
        <w:numPr>
          <w:ilvl w:val="0"/>
          <w:numId w:val="1047"/>
        </w:numPr>
      </w:pPr>
      <w:r>
        <w:t xml:space="preserve">8.1 Sécurité applicative - OWASP Top 10</w:t>
      </w:r>
    </w:p>
    <w:p>
      <w:pPr>
        <w:pStyle w:val="Compact"/>
        <w:numPr>
          <w:ilvl w:val="1"/>
          <w:numId w:val="1048"/>
        </w:numPr>
      </w:pPr>
      <w:r>
        <w:t xml:space="preserve">8.1.1 A01:2021 - Contrôle d’accès défaillant</w:t>
      </w:r>
    </w:p>
    <w:p>
      <w:pPr>
        <w:pStyle w:val="Compact"/>
        <w:numPr>
          <w:ilvl w:val="1"/>
          <w:numId w:val="1048"/>
        </w:numPr>
      </w:pPr>
      <w:r>
        <w:t xml:space="preserve">8.1.2 A02:2021 - Défaillances cryptographiques</w:t>
      </w:r>
    </w:p>
    <w:p>
      <w:pPr>
        <w:pStyle w:val="Compact"/>
        <w:numPr>
          <w:ilvl w:val="1"/>
          <w:numId w:val="1048"/>
        </w:numPr>
      </w:pPr>
      <w:r>
        <w:t xml:space="preserve">8.1.3 A03:2021 - Injection</w:t>
      </w:r>
    </w:p>
    <w:p>
      <w:pPr>
        <w:pStyle w:val="Compact"/>
        <w:numPr>
          <w:ilvl w:val="1"/>
          <w:numId w:val="1048"/>
        </w:numPr>
      </w:pPr>
      <w:r>
        <w:t xml:space="preserve">8.1.4 A04:2021 - Conception non sécurisée</w:t>
      </w:r>
    </w:p>
    <w:p>
      <w:pPr>
        <w:pStyle w:val="Compact"/>
        <w:numPr>
          <w:ilvl w:val="1"/>
          <w:numId w:val="1048"/>
        </w:numPr>
      </w:pPr>
      <w:r>
        <w:t xml:space="preserve">8.1.5 A05:2021 - Mauvaise configuration de sécurité</w:t>
      </w:r>
    </w:p>
    <w:p>
      <w:pPr>
        <w:pStyle w:val="Compact"/>
        <w:numPr>
          <w:ilvl w:val="1"/>
          <w:numId w:val="1048"/>
        </w:numPr>
      </w:pPr>
      <w:r>
        <w:t xml:space="preserve">8.1.6 A06:2021 - Composants vulnérables et obsolètes</w:t>
      </w:r>
    </w:p>
    <w:p>
      <w:pPr>
        <w:pStyle w:val="Compact"/>
        <w:numPr>
          <w:ilvl w:val="1"/>
          <w:numId w:val="1048"/>
        </w:numPr>
      </w:pPr>
      <w:r>
        <w:t xml:space="preserve">8.1.7 A07:2021 - Identification et authentification</w:t>
      </w:r>
    </w:p>
    <w:p>
      <w:pPr>
        <w:pStyle w:val="Compact"/>
        <w:numPr>
          <w:ilvl w:val="1"/>
          <w:numId w:val="1048"/>
        </w:numPr>
      </w:pPr>
      <w:r>
        <w:t xml:space="preserve">8.1.8 A08:2021 - Manque d’intégrité des données</w:t>
      </w:r>
    </w:p>
    <w:p>
      <w:pPr>
        <w:pStyle w:val="Compact"/>
        <w:numPr>
          <w:ilvl w:val="1"/>
          <w:numId w:val="1048"/>
        </w:numPr>
      </w:pPr>
      <w:r>
        <w:t xml:space="preserve">8.1.9 A09:2021 - Carence des systèmes de contrôle</w:t>
      </w:r>
    </w:p>
    <w:p>
      <w:pPr>
        <w:pStyle w:val="Compact"/>
        <w:numPr>
          <w:ilvl w:val="1"/>
          <w:numId w:val="1048"/>
        </w:numPr>
      </w:pPr>
      <w:r>
        <w:t xml:space="preserve">8.1.10 A10:2021 - Falsification de requête côté serveur</w:t>
      </w:r>
    </w:p>
    <w:p>
      <w:pPr>
        <w:pStyle w:val="Compact"/>
        <w:numPr>
          <w:ilvl w:val="0"/>
          <w:numId w:val="1047"/>
        </w:numPr>
      </w:pPr>
      <w:r>
        <w:t xml:space="preserve">8.2 RGPD et protection des données personnelles</w:t>
      </w:r>
    </w:p>
    <w:p>
      <w:pPr>
        <w:pStyle w:val="Compact"/>
        <w:numPr>
          <w:ilvl w:val="1"/>
          <w:numId w:val="1049"/>
        </w:numPr>
      </w:pPr>
      <w:r>
        <w:t xml:space="preserve">8.2.1 Données personnelles collectées</w:t>
      </w:r>
    </w:p>
    <w:p>
      <w:pPr>
        <w:pStyle w:val="Compact"/>
        <w:numPr>
          <w:ilvl w:val="1"/>
          <w:numId w:val="1049"/>
        </w:numPr>
      </w:pPr>
      <w:r>
        <w:t xml:space="preserve">8.2.2 Principes RGPD appliqués</w:t>
      </w:r>
    </w:p>
    <w:p>
      <w:pPr>
        <w:pStyle w:val="Compact"/>
        <w:numPr>
          <w:ilvl w:val="1"/>
          <w:numId w:val="1049"/>
        </w:numPr>
      </w:pPr>
      <w:r>
        <w:t xml:space="preserve">8.2.3 Registre des traitements</w:t>
      </w:r>
    </w:p>
    <w:p>
      <w:pPr>
        <w:pStyle w:val="Compact"/>
        <w:numPr>
          <w:ilvl w:val="1"/>
          <w:numId w:val="1049"/>
        </w:numPr>
      </w:pPr>
      <w:r>
        <w:t xml:space="preserve">8.2.4 Conformité et documentation</w:t>
      </w:r>
    </w:p>
    <w:p>
      <w:pPr>
        <w:pStyle w:val="Compact"/>
        <w:numPr>
          <w:ilvl w:val="0"/>
          <w:numId w:val="1047"/>
        </w:numPr>
      </w:pPr>
      <w:r>
        <w:t xml:space="preserve">8.3 Recommandations ANSSI</w:t>
      </w:r>
    </w:p>
    <w:p>
      <w:pPr>
        <w:pStyle w:val="Compact"/>
        <w:numPr>
          <w:ilvl w:val="1"/>
          <w:numId w:val="1050"/>
        </w:numPr>
      </w:pPr>
      <w:r>
        <w:t xml:space="preserve">8.3.1 Guide de développement sécurisé</w:t>
      </w:r>
    </w:p>
    <w:p>
      <w:pPr>
        <w:pStyle w:val="Compact"/>
        <w:numPr>
          <w:ilvl w:val="1"/>
          <w:numId w:val="1050"/>
        </w:numPr>
      </w:pPr>
      <w:r>
        <w:t xml:space="preserve">8.3.2 Guide d’hygiène informatique</w:t>
      </w:r>
    </w:p>
    <w:p>
      <w:pPr>
        <w:pStyle w:val="Compact"/>
        <w:numPr>
          <w:ilvl w:val="0"/>
          <w:numId w:val="1047"/>
        </w:numPr>
      </w:pPr>
      <w:r>
        <w:t xml:space="preserve">8.4 Analyse des vulnérabilités et mesures correctives</w:t>
      </w:r>
    </w:p>
    <w:p>
      <w:pPr>
        <w:pStyle w:val="Compact"/>
        <w:numPr>
          <w:ilvl w:val="1"/>
          <w:numId w:val="1051"/>
        </w:numPr>
      </w:pPr>
      <w:r>
        <w:t xml:space="preserve">8.4.1 Analyse de risques</w:t>
      </w:r>
    </w:p>
    <w:p>
      <w:pPr>
        <w:pStyle w:val="Compact"/>
        <w:numPr>
          <w:ilvl w:val="1"/>
          <w:numId w:val="1051"/>
        </w:numPr>
      </w:pPr>
      <w:r>
        <w:t xml:space="preserve">8.4.2 Mesures correctives prioritaires</w:t>
      </w:r>
    </w:p>
    <w:p>
      <w:pPr>
        <w:pStyle w:val="Compact"/>
        <w:numPr>
          <w:ilvl w:val="1"/>
          <w:numId w:val="1051"/>
        </w:numPr>
      </w:pPr>
      <w:r>
        <w:t xml:space="preserve">8.4.3 Tests de sécurité</w:t>
      </w:r>
    </w:p>
    <w:bookmarkEnd w:id="17"/>
    <w:bookmarkStart w:id="18" w:name="plan-de-tests-16-pages"/>
    <w:p>
      <w:pPr>
        <w:pStyle w:val="Heading3"/>
      </w:pPr>
      <w:r>
        <w:t xml:space="preserve">9. PLAN DE TESTS (16 pages)</w:t>
      </w:r>
    </w:p>
    <w:p>
      <w:pPr>
        <w:pStyle w:val="Compact"/>
        <w:numPr>
          <w:ilvl w:val="0"/>
          <w:numId w:val="1052"/>
        </w:numPr>
      </w:pPr>
      <w:r>
        <w:t xml:space="preserve">9.1 Stratégie de tests</w:t>
      </w:r>
    </w:p>
    <w:p>
      <w:pPr>
        <w:pStyle w:val="Compact"/>
        <w:numPr>
          <w:ilvl w:val="1"/>
          <w:numId w:val="1053"/>
        </w:numPr>
      </w:pPr>
      <w:r>
        <w:t xml:space="preserve">9.1.1 Pyramide des tests</w:t>
      </w:r>
    </w:p>
    <w:p>
      <w:pPr>
        <w:pStyle w:val="Compact"/>
        <w:numPr>
          <w:ilvl w:val="1"/>
          <w:numId w:val="1053"/>
        </w:numPr>
      </w:pPr>
      <w:r>
        <w:t xml:space="preserve">9.1.2 Niveaux de tests</w:t>
      </w:r>
    </w:p>
    <w:p>
      <w:pPr>
        <w:pStyle w:val="Compact"/>
        <w:numPr>
          <w:ilvl w:val="1"/>
          <w:numId w:val="1053"/>
        </w:numPr>
      </w:pPr>
      <w:r>
        <w:t xml:space="preserve">9.1.3 Critères d’acceptation</w:t>
      </w:r>
    </w:p>
    <w:p>
      <w:pPr>
        <w:pStyle w:val="Compact"/>
        <w:numPr>
          <w:ilvl w:val="0"/>
          <w:numId w:val="1052"/>
        </w:numPr>
      </w:pPr>
      <w:r>
        <w:t xml:space="preserve">9.2 Frameworks et outils de tests</w:t>
      </w:r>
    </w:p>
    <w:p>
      <w:pPr>
        <w:pStyle w:val="Compact"/>
        <w:numPr>
          <w:ilvl w:val="1"/>
          <w:numId w:val="1054"/>
        </w:numPr>
      </w:pPr>
      <w:r>
        <w:t xml:space="preserve">9.2.1 Kotest - Framework de tests Kotlin</w:t>
      </w:r>
    </w:p>
    <w:p>
      <w:pPr>
        <w:pStyle w:val="Compact"/>
        <w:numPr>
          <w:ilvl w:val="1"/>
          <w:numId w:val="1054"/>
        </w:numPr>
      </w:pPr>
      <w:r>
        <w:t xml:space="preserve">9.2.2 MockK - Mocking framework</w:t>
      </w:r>
    </w:p>
    <w:p>
      <w:pPr>
        <w:pStyle w:val="Compact"/>
        <w:numPr>
          <w:ilvl w:val="1"/>
          <w:numId w:val="1054"/>
        </w:numPr>
      </w:pPr>
      <w:r>
        <w:t xml:space="preserve">9.2.3 Testcontainers - Containers Docker</w:t>
      </w:r>
    </w:p>
    <w:p>
      <w:pPr>
        <w:pStyle w:val="Compact"/>
        <w:numPr>
          <w:ilvl w:val="1"/>
          <w:numId w:val="1054"/>
        </w:numPr>
      </w:pPr>
      <w:r>
        <w:t xml:space="preserve">9.2.4 Ktor Test</w:t>
      </w:r>
    </w:p>
    <w:p>
      <w:pPr>
        <w:pStyle w:val="Compact"/>
        <w:numPr>
          <w:ilvl w:val="1"/>
          <w:numId w:val="1054"/>
        </w:numPr>
      </w:pPr>
      <w:r>
        <w:t xml:space="preserve">9.2.5 Awaitility - Tests asynchrones</w:t>
      </w:r>
    </w:p>
    <w:p>
      <w:pPr>
        <w:pStyle w:val="Compact"/>
        <w:numPr>
          <w:ilvl w:val="1"/>
          <w:numId w:val="1054"/>
        </w:numPr>
      </w:pPr>
      <w:r>
        <w:t xml:space="preserve">9.2.6 JaCoCo - Couverture de code</w:t>
      </w:r>
    </w:p>
    <w:p>
      <w:pPr>
        <w:pStyle w:val="Compact"/>
        <w:numPr>
          <w:ilvl w:val="0"/>
          <w:numId w:val="1052"/>
        </w:numPr>
      </w:pPr>
      <w:r>
        <w:t xml:space="preserve">9.3 Environnements de tests</w:t>
      </w:r>
    </w:p>
    <w:p>
      <w:pPr>
        <w:pStyle w:val="Compact"/>
        <w:numPr>
          <w:ilvl w:val="1"/>
          <w:numId w:val="1055"/>
        </w:numPr>
      </w:pPr>
      <w:r>
        <w:t xml:space="preserve">9.3.1 Environnement local</w:t>
      </w:r>
    </w:p>
    <w:p>
      <w:pPr>
        <w:pStyle w:val="Compact"/>
        <w:numPr>
          <w:ilvl w:val="1"/>
          <w:numId w:val="1055"/>
        </w:numPr>
      </w:pPr>
      <w:r>
        <w:t xml:space="preserve">9.3.2 Environnement CI/CD (GitHub Actions)</w:t>
      </w:r>
    </w:p>
    <w:p>
      <w:pPr>
        <w:pStyle w:val="Compact"/>
        <w:numPr>
          <w:ilvl w:val="1"/>
          <w:numId w:val="1055"/>
        </w:numPr>
      </w:pPr>
      <w:r>
        <w:t xml:space="preserve">9.3.3 Environnement de staging (Render)</w:t>
      </w:r>
    </w:p>
    <w:p>
      <w:pPr>
        <w:pStyle w:val="Compact"/>
        <w:numPr>
          <w:ilvl w:val="0"/>
          <w:numId w:val="1052"/>
        </w:numPr>
      </w:pPr>
      <w:r>
        <w:t xml:space="preserve">9.4 Couverture de code et intégration CI/CD</w:t>
      </w:r>
    </w:p>
    <w:p>
      <w:pPr>
        <w:pStyle w:val="Compact"/>
        <w:numPr>
          <w:ilvl w:val="1"/>
          <w:numId w:val="1056"/>
        </w:numPr>
      </w:pPr>
      <w:r>
        <w:t xml:space="preserve">9.4.1 Objectifs de couverture</w:t>
      </w:r>
    </w:p>
    <w:p>
      <w:pPr>
        <w:pStyle w:val="Compact"/>
        <w:numPr>
          <w:ilvl w:val="1"/>
          <w:numId w:val="1056"/>
        </w:numPr>
      </w:pPr>
      <w:r>
        <w:t xml:space="preserve">9.4.2 Rapports de couverture</w:t>
      </w:r>
    </w:p>
    <w:p>
      <w:pPr>
        <w:pStyle w:val="Compact"/>
        <w:numPr>
          <w:ilvl w:val="1"/>
          <w:numId w:val="1056"/>
        </w:numPr>
      </w:pPr>
      <w:r>
        <w:t xml:space="preserve">9.4.3 Intégration CI/CD</w:t>
      </w:r>
    </w:p>
    <w:p>
      <w:pPr>
        <w:pStyle w:val="Compact"/>
        <w:numPr>
          <w:ilvl w:val="1"/>
          <w:numId w:val="1056"/>
        </w:numPr>
      </w:pPr>
      <w:r>
        <w:t xml:space="preserve">9.4.4 Badges de qualité</w:t>
      </w:r>
    </w:p>
    <w:p>
      <w:pPr>
        <w:pStyle w:val="Compact"/>
        <w:numPr>
          <w:ilvl w:val="0"/>
          <w:numId w:val="1052"/>
        </w:numPr>
      </w:pPr>
      <w:r>
        <w:t xml:space="preserve">9.5 Tests par type de composant</w:t>
      </w:r>
    </w:p>
    <w:p>
      <w:pPr>
        <w:pStyle w:val="Compact"/>
        <w:numPr>
          <w:ilvl w:val="1"/>
          <w:numId w:val="1057"/>
        </w:numPr>
      </w:pPr>
      <w:r>
        <w:t xml:space="preserve">9.5.1 Tests des Use Cases (Domain)</w:t>
      </w:r>
    </w:p>
    <w:p>
      <w:pPr>
        <w:pStyle w:val="Compact"/>
        <w:numPr>
          <w:ilvl w:val="1"/>
          <w:numId w:val="1057"/>
        </w:numPr>
      </w:pPr>
      <w:r>
        <w:t xml:space="preserve">9.5.2 Tests des Repositories (Infrastructure)</w:t>
      </w:r>
    </w:p>
    <w:p>
      <w:pPr>
        <w:pStyle w:val="Compact"/>
        <w:numPr>
          <w:ilvl w:val="1"/>
          <w:numId w:val="1057"/>
        </w:numPr>
      </w:pPr>
      <w:r>
        <w:t xml:space="preserve">9.5.3 Tests des Endpoints (Infrastructure)</w:t>
      </w:r>
    </w:p>
    <w:p>
      <w:pPr>
        <w:pStyle w:val="Compact"/>
        <w:numPr>
          <w:ilvl w:val="0"/>
          <w:numId w:val="1052"/>
        </w:numPr>
      </w:pPr>
      <w:r>
        <w:t xml:space="preserve">9.6 Bonnes pratiques de tests</w:t>
      </w:r>
    </w:p>
    <w:p>
      <w:pPr>
        <w:pStyle w:val="Compact"/>
        <w:numPr>
          <w:ilvl w:val="1"/>
          <w:numId w:val="1058"/>
        </w:numPr>
      </w:pPr>
      <w:r>
        <w:t xml:space="preserve">9.6.1 Principes FIRST</w:t>
      </w:r>
    </w:p>
    <w:p>
      <w:pPr>
        <w:pStyle w:val="Compact"/>
        <w:numPr>
          <w:ilvl w:val="1"/>
          <w:numId w:val="1058"/>
        </w:numPr>
      </w:pPr>
      <w:r>
        <w:t xml:space="preserve">9.6.2 Convention de nommage</w:t>
      </w:r>
    </w:p>
    <w:p>
      <w:pPr>
        <w:pStyle w:val="Compact"/>
        <w:numPr>
          <w:ilvl w:val="1"/>
          <w:numId w:val="1058"/>
        </w:numPr>
      </w:pPr>
      <w:r>
        <w:t xml:space="preserve">9.6.3 Arrange-Act-Assert (AAA)</w:t>
      </w:r>
    </w:p>
    <w:p>
      <w:pPr>
        <w:pStyle w:val="Compact"/>
        <w:numPr>
          <w:ilvl w:val="1"/>
          <w:numId w:val="1058"/>
        </w:numPr>
      </w:pPr>
      <w:r>
        <w:t xml:space="preserve">9.6.4 Test isolation</w:t>
      </w:r>
    </w:p>
    <w:bookmarkEnd w:id="18"/>
    <w:bookmarkStart w:id="19" w:name="jeu-dessai-et-analyse-12-pages"/>
    <w:p>
      <w:pPr>
        <w:pStyle w:val="Heading3"/>
      </w:pPr>
      <w:r>
        <w:t xml:space="preserve">10. JEU D’ESSAI ET ANALYSE (12 pages)</w:t>
      </w:r>
    </w:p>
    <w:p>
      <w:pPr>
        <w:pStyle w:val="Compact"/>
        <w:numPr>
          <w:ilvl w:val="0"/>
          <w:numId w:val="1059"/>
        </w:numPr>
      </w:pPr>
      <w:r>
        <w:t xml:space="preserve">10.1 Présentation de la fonctionnalité testée</w:t>
      </w:r>
    </w:p>
    <w:p>
      <w:pPr>
        <w:pStyle w:val="Compact"/>
        <w:numPr>
          <w:ilvl w:val="1"/>
          <w:numId w:val="1060"/>
        </w:numPr>
      </w:pPr>
      <w:r>
        <w:t xml:space="preserve">10.1.1 Fonctionnalité choisie : Création d’événement</w:t>
      </w:r>
    </w:p>
    <w:p>
      <w:pPr>
        <w:pStyle w:val="Compact"/>
        <w:numPr>
          <w:ilvl w:val="1"/>
          <w:numId w:val="1060"/>
        </w:numPr>
      </w:pPr>
      <w:r>
        <w:t xml:space="preserve">10.1.2 Architecture de la fonctionnalité</w:t>
      </w:r>
    </w:p>
    <w:p>
      <w:pPr>
        <w:pStyle w:val="Compact"/>
        <w:numPr>
          <w:ilvl w:val="1"/>
          <w:numId w:val="1060"/>
        </w:numPr>
      </w:pPr>
      <w:r>
        <w:t xml:space="preserve">10.1.3 Données attendues</w:t>
      </w:r>
    </w:p>
    <w:p>
      <w:pPr>
        <w:pStyle w:val="Compact"/>
        <w:numPr>
          <w:ilvl w:val="0"/>
          <w:numId w:val="1059"/>
        </w:numPr>
      </w:pPr>
      <w:r>
        <w:t xml:space="preserve">10.2 Jeux de tests détaillés</w:t>
      </w:r>
    </w:p>
    <w:p>
      <w:pPr>
        <w:pStyle w:val="Compact"/>
        <w:numPr>
          <w:ilvl w:val="1"/>
          <w:numId w:val="1061"/>
        </w:numPr>
      </w:pPr>
      <w:r>
        <w:t xml:space="preserve">Test 1 : Création d’événement valide (Cas nominal)</w:t>
      </w:r>
    </w:p>
    <w:p>
      <w:pPr>
        <w:pStyle w:val="Compact"/>
        <w:numPr>
          <w:ilvl w:val="1"/>
          <w:numId w:val="1061"/>
        </w:numPr>
      </w:pPr>
      <w:r>
        <w:t xml:space="preserve">Test 2 : Nom d’événement déjà existant (Contrainte d’unicité)</w:t>
      </w:r>
    </w:p>
    <w:p>
      <w:pPr>
        <w:pStyle w:val="Compact"/>
        <w:numPr>
          <w:ilvl w:val="1"/>
          <w:numId w:val="1061"/>
        </w:numPr>
      </w:pPr>
      <w:r>
        <w:t xml:space="preserve">Test 3 : Date d’événement dans le passé (Validation métier)</w:t>
      </w:r>
    </w:p>
    <w:p>
      <w:pPr>
        <w:pStyle w:val="Compact"/>
        <w:numPr>
          <w:ilvl w:val="1"/>
          <w:numId w:val="1061"/>
        </w:numPr>
      </w:pPr>
      <w:r>
        <w:t xml:space="preserve">Test 4 : Type d’événement invalide (Validation format)</w:t>
      </w:r>
    </w:p>
    <w:p>
      <w:pPr>
        <w:pStyle w:val="Compact"/>
        <w:numPr>
          <w:ilvl w:val="1"/>
          <w:numId w:val="1061"/>
        </w:numPr>
      </w:pPr>
      <w:r>
        <w:t xml:space="preserve">Test 5 : Header x-user-id manquant (Validation sécurité)</w:t>
      </w:r>
    </w:p>
    <w:p>
      <w:pPr>
        <w:pStyle w:val="Compact"/>
        <w:numPr>
          <w:ilvl w:val="1"/>
          <w:numId w:val="1061"/>
        </w:numPr>
      </w:pPr>
      <w:r>
        <w:t xml:space="preserve">Test 6 : Tentative d’injection SQL (Sécurité)</w:t>
      </w:r>
    </w:p>
    <w:p>
      <w:pPr>
        <w:pStyle w:val="Compact"/>
        <w:numPr>
          <w:ilvl w:val="1"/>
          <w:numId w:val="1061"/>
        </w:numPr>
      </w:pPr>
      <w:r>
        <w:t xml:space="preserve">Test 7 : Nom très long (Validation longueur)</w:t>
      </w:r>
    </w:p>
    <w:p>
      <w:pPr>
        <w:pStyle w:val="Compact"/>
        <w:numPr>
          <w:ilvl w:val="0"/>
          <w:numId w:val="1059"/>
        </w:numPr>
      </w:pPr>
      <w:r>
        <w:t xml:space="preserve">10.3 Synthèse et analyse des résultats</w:t>
      </w:r>
    </w:p>
    <w:p>
      <w:pPr>
        <w:pStyle w:val="Compact"/>
        <w:numPr>
          <w:ilvl w:val="1"/>
          <w:numId w:val="1062"/>
        </w:numPr>
      </w:pPr>
      <w:r>
        <w:t xml:space="preserve">10.3.1 Tableau récapitulatif des tests</w:t>
      </w:r>
    </w:p>
    <w:p>
      <w:pPr>
        <w:pStyle w:val="Compact"/>
        <w:numPr>
          <w:ilvl w:val="1"/>
          <w:numId w:val="1062"/>
        </w:numPr>
      </w:pPr>
      <w:r>
        <w:t xml:space="preserve">10.3.2 Analyse des écarts</w:t>
      </w:r>
    </w:p>
    <w:p>
      <w:pPr>
        <w:pStyle w:val="Compact"/>
        <w:numPr>
          <w:ilvl w:val="1"/>
          <w:numId w:val="1062"/>
        </w:numPr>
      </w:pPr>
      <w:r>
        <w:t xml:space="preserve">10.3.3 Tests de non-régression</w:t>
      </w:r>
    </w:p>
    <w:p>
      <w:pPr>
        <w:pStyle w:val="Compact"/>
        <w:numPr>
          <w:ilvl w:val="1"/>
          <w:numId w:val="1062"/>
        </w:numPr>
      </w:pPr>
      <w:r>
        <w:t xml:space="preserve">10.3.4 Couverture fonctionnelle</w:t>
      </w:r>
    </w:p>
    <w:p>
      <w:pPr>
        <w:pStyle w:val="Compact"/>
        <w:numPr>
          <w:ilvl w:val="1"/>
          <w:numId w:val="1062"/>
        </w:numPr>
      </w:pPr>
      <w:r>
        <w:t xml:space="preserve">10.3.5 Performances</w:t>
      </w:r>
    </w:p>
    <w:p>
      <w:pPr>
        <w:pStyle w:val="Compact"/>
        <w:numPr>
          <w:ilvl w:val="1"/>
          <w:numId w:val="1062"/>
        </w:numPr>
      </w:pPr>
      <w:r>
        <w:t xml:space="preserve">10.3.6 Points forts identifiés</w:t>
      </w:r>
    </w:p>
    <w:p>
      <w:pPr>
        <w:pStyle w:val="Compact"/>
        <w:numPr>
          <w:ilvl w:val="1"/>
          <w:numId w:val="1062"/>
        </w:numPr>
      </w:pPr>
      <w:r>
        <w:t xml:space="preserve">10.3.7 Axes d’amélioration</w:t>
      </w:r>
    </w:p>
    <w:p>
      <w:pPr>
        <w:pStyle w:val="Compact"/>
        <w:numPr>
          <w:ilvl w:val="0"/>
          <w:numId w:val="1059"/>
        </w:numPr>
      </w:pPr>
      <w:r>
        <w:t xml:space="preserve">10.4 Conclusion du jeu d’essai</w:t>
      </w:r>
    </w:p>
    <w:p>
      <w:pPr>
        <w:pStyle w:val="Compact"/>
        <w:numPr>
          <w:ilvl w:val="1"/>
          <w:numId w:val="1063"/>
        </w:numPr>
      </w:pPr>
      <w:r>
        <w:t xml:space="preserve">10.4.1 Bilan général</w:t>
      </w:r>
    </w:p>
    <w:p>
      <w:pPr>
        <w:pStyle w:val="Compact"/>
        <w:numPr>
          <w:ilvl w:val="1"/>
          <w:numId w:val="1063"/>
        </w:numPr>
      </w:pPr>
      <w:r>
        <w:t xml:space="preserve">10.4.2 Compétences démontrées</w:t>
      </w:r>
    </w:p>
    <w:p>
      <w:pPr>
        <w:pStyle w:val="Compact"/>
        <w:numPr>
          <w:ilvl w:val="1"/>
          <w:numId w:val="1063"/>
        </w:numPr>
      </w:pPr>
      <w:r>
        <w:t xml:space="preserve">10.4.3 Recommandations</w:t>
      </w:r>
    </w:p>
    <w:bookmarkEnd w:id="19"/>
    <w:bookmarkStart w:id="20" w:name="veille-technologique-3-pages"/>
    <w:p>
      <w:pPr>
        <w:pStyle w:val="Heading3"/>
      </w:pPr>
      <w:r>
        <w:t xml:space="preserve">11. VEILLE TECHNOLOGIQUE (3 pages)</w:t>
      </w:r>
    </w:p>
    <w:p>
      <w:pPr>
        <w:pStyle w:val="Compact"/>
        <w:numPr>
          <w:ilvl w:val="0"/>
          <w:numId w:val="1064"/>
        </w:numPr>
      </w:pPr>
      <w:r>
        <w:t xml:space="preserve">11.1 Méthodologie et sources de veille</w:t>
      </w:r>
    </w:p>
    <w:p>
      <w:pPr>
        <w:pStyle w:val="Compact"/>
        <w:numPr>
          <w:ilvl w:val="1"/>
          <w:numId w:val="1065"/>
        </w:numPr>
      </w:pPr>
      <w:r>
        <w:t xml:space="preserve">11.1.1 Organisation de la veille</w:t>
      </w:r>
    </w:p>
    <w:p>
      <w:pPr>
        <w:pStyle w:val="Compact"/>
        <w:numPr>
          <w:ilvl w:val="1"/>
          <w:numId w:val="1065"/>
        </w:numPr>
      </w:pPr>
      <w:r>
        <w:t xml:space="preserve">11.1.2 Sources de veille par catégorie</w:t>
      </w:r>
    </w:p>
    <w:p>
      <w:pPr>
        <w:pStyle w:val="Compact"/>
        <w:numPr>
          <w:ilvl w:val="0"/>
          <w:numId w:val="1064"/>
        </w:numPr>
      </w:pPr>
      <w:r>
        <w:t xml:space="preserve">11.2 Veille appliquée au projet HappyRow Core</w:t>
      </w:r>
    </w:p>
    <w:p>
      <w:pPr>
        <w:pStyle w:val="Compact"/>
        <w:numPr>
          <w:ilvl w:val="1"/>
          <w:numId w:val="1066"/>
        </w:numPr>
      </w:pPr>
      <w:r>
        <w:t xml:space="preserve">11.2.1 Mise à jour des dépendances</w:t>
      </w:r>
    </w:p>
    <w:p>
      <w:pPr>
        <w:pStyle w:val="Compact"/>
        <w:numPr>
          <w:ilvl w:val="1"/>
          <w:numId w:val="1066"/>
        </w:numPr>
      </w:pPr>
      <w:r>
        <w:t xml:space="preserve">11.2.2 Vulnérabilités identifiées et corrigées</w:t>
      </w:r>
    </w:p>
    <w:p>
      <w:pPr>
        <w:pStyle w:val="Compact"/>
        <w:numPr>
          <w:ilvl w:val="1"/>
          <w:numId w:val="1066"/>
        </w:numPr>
      </w:pPr>
      <w:r>
        <w:t xml:space="preserve">11.2.3 Évolutions technologiques appliquées</w:t>
      </w:r>
    </w:p>
    <w:p>
      <w:pPr>
        <w:pStyle w:val="Compact"/>
        <w:numPr>
          <w:ilvl w:val="0"/>
          <w:numId w:val="1064"/>
        </w:numPr>
      </w:pPr>
      <w:r>
        <w:t xml:space="preserve">11.3 Veille prospective et roadmap</w:t>
      </w:r>
    </w:p>
    <w:p>
      <w:pPr>
        <w:pStyle w:val="Compact"/>
        <w:numPr>
          <w:ilvl w:val="1"/>
          <w:numId w:val="1067"/>
        </w:numPr>
      </w:pPr>
      <w:r>
        <w:t xml:space="preserve">11.3.1 Technologies à surveiller (2025-2026)</w:t>
      </w:r>
    </w:p>
    <w:p>
      <w:pPr>
        <w:pStyle w:val="Compact"/>
        <w:numPr>
          <w:ilvl w:val="1"/>
          <w:numId w:val="1067"/>
        </w:numPr>
      </w:pPr>
      <w:r>
        <w:t xml:space="preserve">11.3.2 Compétences à développer</w:t>
      </w:r>
    </w:p>
    <w:p>
      <w:pPr>
        <w:pStyle w:val="Compact"/>
        <w:numPr>
          <w:ilvl w:val="0"/>
          <w:numId w:val="1064"/>
        </w:numPr>
      </w:pPr>
      <w:r>
        <w:t xml:space="preserve">11.4 Partage de connaissances</w:t>
      </w:r>
    </w:p>
    <w:p>
      <w:pPr>
        <w:pStyle w:val="Compact"/>
        <w:numPr>
          <w:ilvl w:val="1"/>
          <w:numId w:val="1068"/>
        </w:numPr>
      </w:pPr>
      <w:r>
        <w:t xml:space="preserve">11.4.1 Documentation interne</w:t>
      </w:r>
    </w:p>
    <w:p>
      <w:pPr>
        <w:pStyle w:val="Compact"/>
        <w:numPr>
          <w:ilvl w:val="1"/>
          <w:numId w:val="1068"/>
        </w:numPr>
      </w:pPr>
      <w:r>
        <w:t xml:space="preserve">11.4.2 Contributions open source</w:t>
      </w:r>
    </w:p>
    <w:bookmarkEnd w:id="20"/>
    <w:bookmarkStart w:id="21" w:name="conclusion-générale-2-pages"/>
    <w:p>
      <w:pPr>
        <w:pStyle w:val="Heading3"/>
      </w:pPr>
      <w:r>
        <w:t xml:space="preserve">12. CONCLUSION GÉNÉRALE (2 pages)</w:t>
      </w:r>
    </w:p>
    <w:p>
      <w:pPr>
        <w:pStyle w:val="Compact"/>
        <w:numPr>
          <w:ilvl w:val="0"/>
          <w:numId w:val="1069"/>
        </w:numPr>
      </w:pPr>
      <w:r>
        <w:t xml:space="preserve">12.1 Bilan du projet HappyRow Core</w:t>
      </w:r>
    </w:p>
    <w:p>
      <w:pPr>
        <w:pStyle w:val="Compact"/>
        <w:numPr>
          <w:ilvl w:val="1"/>
          <w:numId w:val="1070"/>
        </w:numPr>
      </w:pPr>
      <w:r>
        <w:t xml:space="preserve">12.1.1 Rappel du contexte et des objectifs</w:t>
      </w:r>
    </w:p>
    <w:p>
      <w:pPr>
        <w:pStyle w:val="Compact"/>
        <w:numPr>
          <w:ilvl w:val="1"/>
          <w:numId w:val="1070"/>
        </w:numPr>
      </w:pPr>
      <w:r>
        <w:t xml:space="preserve">12.1.2 Réalisations techniques majeures</w:t>
      </w:r>
    </w:p>
    <w:p>
      <w:pPr>
        <w:pStyle w:val="Compact"/>
        <w:numPr>
          <w:ilvl w:val="0"/>
          <w:numId w:val="1069"/>
        </w:numPr>
      </w:pPr>
      <w:r>
        <w:t xml:space="preserve">12.2 Compétences professionnelles acquises</w:t>
      </w:r>
    </w:p>
    <w:p>
      <w:pPr>
        <w:pStyle w:val="Compact"/>
        <w:numPr>
          <w:ilvl w:val="1"/>
          <w:numId w:val="1071"/>
        </w:numPr>
      </w:pPr>
      <w:r>
        <w:t xml:space="preserve">12.2.1 Référentiel CDA validé</w:t>
      </w:r>
    </w:p>
    <w:p>
      <w:pPr>
        <w:pStyle w:val="Compact"/>
        <w:numPr>
          <w:ilvl w:val="1"/>
          <w:numId w:val="1071"/>
        </w:numPr>
      </w:pPr>
      <w:r>
        <w:t xml:space="preserve">12.2.2 Compétences transversales développées</w:t>
      </w:r>
    </w:p>
    <w:p>
      <w:pPr>
        <w:pStyle w:val="Compact"/>
        <w:numPr>
          <w:ilvl w:val="0"/>
          <w:numId w:val="1069"/>
        </w:numPr>
      </w:pPr>
      <w:r>
        <w:t xml:space="preserve">12.3 Difficultés rencontrées et solutions apportées</w:t>
      </w:r>
    </w:p>
    <w:p>
      <w:pPr>
        <w:pStyle w:val="Compact"/>
        <w:numPr>
          <w:ilvl w:val="1"/>
          <w:numId w:val="1072"/>
        </w:numPr>
      </w:pPr>
      <w:r>
        <w:t xml:space="preserve">12.3.1 Difficulté 1 : Initialisation de la base de données</w:t>
      </w:r>
    </w:p>
    <w:p>
      <w:pPr>
        <w:pStyle w:val="Compact"/>
        <w:numPr>
          <w:ilvl w:val="1"/>
          <w:numId w:val="1072"/>
        </w:numPr>
      </w:pPr>
      <w:r>
        <w:t xml:space="preserve">12.3.2 Difficulté 2 : Conflits Detekt/Spotless</w:t>
      </w:r>
    </w:p>
    <w:p>
      <w:pPr>
        <w:pStyle w:val="Compact"/>
        <w:numPr>
          <w:ilvl w:val="1"/>
          <w:numId w:val="1072"/>
        </w:numPr>
      </w:pPr>
      <w:r>
        <w:t xml:space="preserve">12.3.3 Difficulté 3 : Configuration CORS pour Vercel</w:t>
      </w:r>
    </w:p>
    <w:p>
      <w:pPr>
        <w:pStyle w:val="Compact"/>
        <w:numPr>
          <w:ilvl w:val="0"/>
          <w:numId w:val="1069"/>
        </w:numPr>
      </w:pPr>
      <w:r>
        <w:t xml:space="preserve">12.4 Perspectives d’évolution</w:t>
      </w:r>
    </w:p>
    <w:p>
      <w:pPr>
        <w:pStyle w:val="Compact"/>
        <w:numPr>
          <w:ilvl w:val="1"/>
          <w:numId w:val="1073"/>
        </w:numPr>
      </w:pPr>
      <w:r>
        <w:t xml:space="preserve">12.4.1 Court terme (Q1-Q2 2025)</w:t>
      </w:r>
    </w:p>
    <w:p>
      <w:pPr>
        <w:pStyle w:val="Compact"/>
        <w:numPr>
          <w:ilvl w:val="1"/>
          <w:numId w:val="1073"/>
        </w:numPr>
      </w:pPr>
      <w:r>
        <w:t xml:space="preserve">12.4.2 Moyen terme (Q3-Q4 2025)</w:t>
      </w:r>
    </w:p>
    <w:p>
      <w:pPr>
        <w:pStyle w:val="Compact"/>
        <w:numPr>
          <w:ilvl w:val="1"/>
          <w:numId w:val="1073"/>
        </w:numPr>
      </w:pPr>
      <w:r>
        <w:t xml:space="preserve">12.4.3 Long terme (2026)</w:t>
      </w:r>
    </w:p>
    <w:p>
      <w:pPr>
        <w:pStyle w:val="Compact"/>
        <w:numPr>
          <w:ilvl w:val="0"/>
          <w:numId w:val="1069"/>
        </w:numPr>
      </w:pPr>
      <w:r>
        <w:t xml:space="preserve">12.5 Conclusion personnelle</w:t>
      </w:r>
    </w:p>
    <w:p>
      <w:pPr>
        <w:pStyle w:val="Compact"/>
        <w:numPr>
          <w:ilvl w:val="0"/>
          <w:numId w:val="1069"/>
        </w:numPr>
      </w:pPr>
      <w:r>
        <w:t xml:space="preserve">12.6 Remerciements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annexes-suggérées---max-40-pages"/>
    <w:p>
      <w:pPr>
        <w:pStyle w:val="Heading2"/>
      </w:pPr>
      <w:r>
        <w:t xml:space="preserve">ANNEXES (suggérées - max 40 pages)</w:t>
      </w:r>
    </w:p>
    <w:bookmarkStart w:id="23" w:name="annexe-a-code-source-complet-sélection"/>
    <w:p>
      <w:pPr>
        <w:pStyle w:val="Heading3"/>
      </w:pPr>
      <w:r>
        <w:t xml:space="preserve">ANNEXE A : CODE SOURCE COMPLET (sélection)</w:t>
      </w:r>
    </w:p>
    <w:p>
      <w:pPr>
        <w:pStyle w:val="Compact"/>
        <w:numPr>
          <w:ilvl w:val="0"/>
          <w:numId w:val="1074"/>
        </w:numPr>
      </w:pPr>
      <w:r>
        <w:t xml:space="preserve">A.1 Domain Layer</w:t>
      </w:r>
    </w:p>
    <w:p>
      <w:pPr>
        <w:pStyle w:val="Compact"/>
        <w:numPr>
          <w:ilvl w:val="1"/>
          <w:numId w:val="1075"/>
        </w:numPr>
      </w:pPr>
      <w:r>
        <w:t xml:space="preserve">Event.kt (entité principale)</w:t>
      </w:r>
    </w:p>
    <w:p>
      <w:pPr>
        <w:pStyle w:val="Compact"/>
        <w:numPr>
          <w:ilvl w:val="1"/>
          <w:numId w:val="1075"/>
        </w:numPr>
      </w:pPr>
      <w:r>
        <w:t xml:space="preserve">CreateEventUseCase.kt</w:t>
      </w:r>
    </w:p>
    <w:p>
      <w:pPr>
        <w:pStyle w:val="Compact"/>
        <w:numPr>
          <w:ilvl w:val="1"/>
          <w:numId w:val="1075"/>
        </w:numPr>
      </w:pPr>
      <w:r>
        <w:t xml:space="preserve">EventRepository.kt (interface)</w:t>
      </w:r>
    </w:p>
    <w:p>
      <w:pPr>
        <w:pStyle w:val="Compact"/>
        <w:numPr>
          <w:ilvl w:val="0"/>
          <w:numId w:val="1074"/>
        </w:numPr>
      </w:pPr>
      <w:r>
        <w:t xml:space="preserve">A.2 Infrastructure Layer</w:t>
      </w:r>
    </w:p>
    <w:p>
      <w:pPr>
        <w:pStyle w:val="Compact"/>
        <w:numPr>
          <w:ilvl w:val="1"/>
          <w:numId w:val="1076"/>
        </w:numPr>
      </w:pPr>
      <w:r>
        <w:t xml:space="preserve">EventTable.kt (Exposed ORM)</w:t>
      </w:r>
    </w:p>
    <w:p>
      <w:pPr>
        <w:pStyle w:val="Compact"/>
        <w:numPr>
          <w:ilvl w:val="1"/>
          <w:numId w:val="1076"/>
        </w:numPr>
      </w:pPr>
      <w:r>
        <w:t xml:space="preserve">SqlEventRepository.kt</w:t>
      </w:r>
    </w:p>
    <w:p>
      <w:pPr>
        <w:pStyle w:val="Compact"/>
        <w:numPr>
          <w:ilvl w:val="1"/>
          <w:numId w:val="1076"/>
        </w:numPr>
      </w:pPr>
      <w:r>
        <w:t xml:space="preserve">CreateEventEndpoint.kt</w:t>
      </w:r>
    </w:p>
    <w:p>
      <w:pPr>
        <w:pStyle w:val="Compact"/>
        <w:numPr>
          <w:ilvl w:val="0"/>
          <w:numId w:val="1074"/>
        </w:numPr>
      </w:pPr>
      <w:r>
        <w:t xml:space="preserve">A.3 Configuration</w:t>
      </w:r>
    </w:p>
    <w:p>
      <w:pPr>
        <w:pStyle w:val="Compact"/>
        <w:numPr>
          <w:ilvl w:val="1"/>
          <w:numId w:val="1077"/>
        </w:numPr>
      </w:pPr>
      <w:r>
        <w:t xml:space="preserve">build.gradle.kts (extrait)</w:t>
      </w:r>
    </w:p>
    <w:p>
      <w:pPr>
        <w:pStyle w:val="Compact"/>
        <w:numPr>
          <w:ilvl w:val="1"/>
          <w:numId w:val="1077"/>
        </w:numPr>
      </w:pPr>
      <w:r>
        <w:t xml:space="preserve">application.conf</w:t>
      </w:r>
    </w:p>
    <w:p>
      <w:pPr>
        <w:pStyle w:val="Compact"/>
        <w:numPr>
          <w:ilvl w:val="1"/>
          <w:numId w:val="1077"/>
        </w:numPr>
      </w:pPr>
      <w:r>
        <w:t xml:space="preserve">Dockerfile</w:t>
      </w:r>
    </w:p>
    <w:bookmarkEnd w:id="23"/>
    <w:bookmarkStart w:id="24" w:name="annexe-b-documentation-api"/>
    <w:p>
      <w:pPr>
        <w:pStyle w:val="Heading3"/>
      </w:pPr>
      <w:r>
        <w:t xml:space="preserve">ANNEXE B : DOCUMENTATION API</w:t>
      </w:r>
    </w:p>
    <w:p>
      <w:pPr>
        <w:pStyle w:val="Compact"/>
        <w:numPr>
          <w:ilvl w:val="0"/>
          <w:numId w:val="1078"/>
        </w:numPr>
      </w:pPr>
      <w:r>
        <w:t xml:space="preserve">B.1 Collection Postman/Insomnia</w:t>
      </w:r>
    </w:p>
    <w:p>
      <w:pPr>
        <w:pStyle w:val="Compact"/>
        <w:numPr>
          <w:ilvl w:val="0"/>
          <w:numId w:val="1078"/>
        </w:numPr>
      </w:pPr>
      <w:r>
        <w:t xml:space="preserve">B.2 Documentation OpenAPI/Swagger</w:t>
      </w:r>
    </w:p>
    <w:p>
      <w:pPr>
        <w:pStyle w:val="Compact"/>
        <w:numPr>
          <w:ilvl w:val="0"/>
          <w:numId w:val="1078"/>
        </w:numPr>
      </w:pPr>
      <w:r>
        <w:t xml:space="preserve">B.3 Exemples de requêtes cURL</w:t>
      </w:r>
    </w:p>
    <w:bookmarkEnd w:id="24"/>
    <w:bookmarkStart w:id="25" w:name="annexe-c-schémas-et-diagrammes"/>
    <w:p>
      <w:pPr>
        <w:pStyle w:val="Heading3"/>
      </w:pPr>
      <w:r>
        <w:t xml:space="preserve">ANNEXE C : SCHÉMAS ET DIAGRAMMES</w:t>
      </w:r>
    </w:p>
    <w:p>
      <w:pPr>
        <w:pStyle w:val="Compact"/>
        <w:numPr>
          <w:ilvl w:val="0"/>
          <w:numId w:val="1079"/>
        </w:numPr>
      </w:pPr>
      <w:r>
        <w:t xml:space="preserve">C.1 Diagramme de déploiement (Render)</w:t>
      </w:r>
    </w:p>
    <w:p>
      <w:pPr>
        <w:pStyle w:val="Compact"/>
        <w:numPr>
          <w:ilvl w:val="0"/>
          <w:numId w:val="1079"/>
        </w:numPr>
      </w:pPr>
      <w:r>
        <w:t xml:space="preserve">C.2 Diagramme de composants détaillé</w:t>
      </w:r>
    </w:p>
    <w:p>
      <w:pPr>
        <w:pStyle w:val="Compact"/>
        <w:numPr>
          <w:ilvl w:val="0"/>
          <w:numId w:val="1079"/>
        </w:numPr>
      </w:pPr>
      <w:r>
        <w:t xml:space="preserve">C.3 Modèle physique de données (MCD/MLD)</w:t>
      </w:r>
    </w:p>
    <w:bookmarkEnd w:id="25"/>
    <w:bookmarkStart w:id="26" w:name="annexe-d-résultats-des-tests"/>
    <w:p>
      <w:pPr>
        <w:pStyle w:val="Heading3"/>
      </w:pPr>
      <w:r>
        <w:t xml:space="preserve">ANNEXE D : RÉSULTATS DES TESTS</w:t>
      </w:r>
    </w:p>
    <w:p>
      <w:pPr>
        <w:pStyle w:val="Compact"/>
        <w:numPr>
          <w:ilvl w:val="0"/>
          <w:numId w:val="1080"/>
        </w:numPr>
      </w:pPr>
      <w:r>
        <w:t xml:space="preserve">D.1 Rapports de tests unitaires (JUnit XML)</w:t>
      </w:r>
    </w:p>
    <w:p>
      <w:pPr>
        <w:pStyle w:val="Compact"/>
        <w:numPr>
          <w:ilvl w:val="0"/>
          <w:numId w:val="1080"/>
        </w:numPr>
      </w:pPr>
      <w:r>
        <w:t xml:space="preserve">D.2 Rapport de couverture JaCoCo (HTML)</w:t>
      </w:r>
    </w:p>
    <w:p>
      <w:pPr>
        <w:pStyle w:val="Compact"/>
        <w:numPr>
          <w:ilvl w:val="0"/>
          <w:numId w:val="1080"/>
        </w:numPr>
      </w:pPr>
      <w:r>
        <w:t xml:space="preserve">D.3 Rapport Detekt (qualité de code)</w:t>
      </w:r>
    </w:p>
    <w:bookmarkEnd w:id="26"/>
    <w:bookmarkStart w:id="27" w:name="annexe-e-déploiement-et-cicd"/>
    <w:p>
      <w:pPr>
        <w:pStyle w:val="Heading3"/>
      </w:pPr>
      <w:r>
        <w:t xml:space="preserve">ANNEXE E : DÉPLOIEMENT ET CI/CD</w:t>
      </w:r>
    </w:p>
    <w:p>
      <w:pPr>
        <w:pStyle w:val="Compact"/>
        <w:numPr>
          <w:ilvl w:val="0"/>
          <w:numId w:val="1081"/>
        </w:numPr>
      </w:pPr>
      <w:r>
        <w:t xml:space="preserve">E.1 Workflow GitHub Actions complet</w:t>
      </w:r>
    </w:p>
    <w:p>
      <w:pPr>
        <w:pStyle w:val="Compact"/>
        <w:numPr>
          <w:ilvl w:val="0"/>
          <w:numId w:val="1081"/>
        </w:numPr>
      </w:pPr>
      <w:r>
        <w:t xml:space="preserve">E.2 Configuration Render (render.yaml)</w:t>
      </w:r>
    </w:p>
    <w:p>
      <w:pPr>
        <w:pStyle w:val="Compact"/>
        <w:numPr>
          <w:ilvl w:val="0"/>
          <w:numId w:val="1081"/>
        </w:numPr>
      </w:pPr>
      <w:r>
        <w:t xml:space="preserve">E.3 Variables d’environnement (template)</w:t>
      </w:r>
    </w:p>
    <w:bookmarkEnd w:id="27"/>
    <w:bookmarkStart w:id="28" w:name="annexe-f-veille-technologique"/>
    <w:p>
      <w:pPr>
        <w:pStyle w:val="Heading3"/>
      </w:pPr>
      <w:r>
        <w:t xml:space="preserve">ANNEXE F : VEILLE TECHNOLOGIQUE</w:t>
      </w:r>
    </w:p>
    <w:p>
      <w:pPr>
        <w:pStyle w:val="Compact"/>
        <w:numPr>
          <w:ilvl w:val="0"/>
          <w:numId w:val="1082"/>
        </w:numPr>
      </w:pPr>
      <w:r>
        <w:t xml:space="preserve">F.1 Liste complète des sources</w:t>
      </w:r>
    </w:p>
    <w:p>
      <w:pPr>
        <w:pStyle w:val="Compact"/>
        <w:numPr>
          <w:ilvl w:val="0"/>
          <w:numId w:val="1082"/>
        </w:numPr>
      </w:pPr>
      <w:r>
        <w:t xml:space="preserve">F.2 Tableau des dépendances avec versions</w:t>
      </w:r>
    </w:p>
    <w:p>
      <w:pPr>
        <w:pStyle w:val="Compact"/>
        <w:numPr>
          <w:ilvl w:val="0"/>
          <w:numId w:val="1082"/>
        </w:numPr>
      </w:pPr>
      <w:r>
        <w:t xml:space="preserve">F.3 Historique des mises à jour</w:t>
      </w:r>
    </w:p>
    <w:bookmarkEnd w:id="28"/>
    <w:bookmarkStart w:id="29" w:name="annexe-g-glossaire"/>
    <w:p>
      <w:pPr>
        <w:pStyle w:val="Heading3"/>
      </w:pPr>
      <w:r>
        <w:t xml:space="preserve">ANNEXE G : GLOSSAIRE</w:t>
      </w:r>
    </w:p>
    <w:p>
      <w:pPr>
        <w:pStyle w:val="Compact"/>
        <w:numPr>
          <w:ilvl w:val="0"/>
          <w:numId w:val="1083"/>
        </w:numPr>
      </w:pPr>
      <w:r>
        <w:t xml:space="preserve">Termes techniques</w:t>
      </w:r>
    </w:p>
    <w:p>
      <w:pPr>
        <w:pStyle w:val="Compact"/>
        <w:numPr>
          <w:ilvl w:val="0"/>
          <w:numId w:val="1083"/>
        </w:numPr>
      </w:pPr>
      <w:r>
        <w:t xml:space="preserve">Acronymes (API, REST, ORM, CI/CD, etc.)</w:t>
      </w:r>
    </w:p>
    <w:p>
      <w:pPr>
        <w:pStyle w:val="Compact"/>
        <w:numPr>
          <w:ilvl w:val="0"/>
          <w:numId w:val="1083"/>
        </w:numPr>
      </w:pPr>
      <w:r>
        <w:t xml:space="preserve">Références bibliographiques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ésumé-du-dossier"/>
    <w:p>
      <w:pPr>
        <w:pStyle w:val="Heading2"/>
      </w:pPr>
      <w:r>
        <w:t xml:space="preserve">RÉSUMÉ DU DOSSIER</w:t>
      </w:r>
    </w:p>
    <w:p>
      <w:pPr>
        <w:pStyle w:val="FirstParagraph"/>
      </w:pPr>
      <w:r>
        <w:rPr>
          <w:b/>
          <w:bCs/>
        </w:rPr>
        <w:t xml:space="preserve">Pages totales</w:t>
      </w:r>
      <w:r>
        <w:t xml:space="preserve"> </w:t>
      </w:r>
      <w:r>
        <w:t xml:space="preserve">: ~127 pages (partie principale) + ~40 pages (annexes) =</w:t>
      </w:r>
      <w:r>
        <w:t xml:space="preserve"> </w:t>
      </w:r>
      <w:r>
        <w:rPr>
          <w:b/>
          <w:bCs/>
        </w:rPr>
        <w:t xml:space="preserve">167 pages</w:t>
      </w:r>
    </w:p>
    <w:p>
      <w:pPr>
        <w:pStyle w:val="BodyText"/>
      </w:pPr>
      <w:r>
        <w:rPr>
          <w:b/>
          <w:bCs/>
        </w:rPr>
        <w:t xml:space="preserve">Répartition</w:t>
      </w:r>
      <w:r>
        <w:t xml:space="preserve"> </w:t>
      </w:r>
      <w:r>
        <w:t xml:space="preserve">:</w:t>
      </w:r>
      <w:r>
        <w:t xml:space="preserve"> </w:t>
      </w:r>
      <w:r>
        <w:t xml:space="preserve">- Contexte et présentation : 18 pages (sections 1-2)</w:t>
      </w:r>
      <w:r>
        <w:t xml:space="preserve"> </w:t>
      </w:r>
      <w:r>
        <w:t xml:space="preserve">- Cahier des charges et gestion projet : 22 pages (sections 3-4)</w:t>
      </w:r>
      <w:r>
        <w:t xml:space="preserve"> </w:t>
      </w:r>
      <w:r>
        <w:t xml:space="preserve">- Spécifications fonctionnelles et techniques : 22 pages (sections 5-6)</w:t>
      </w:r>
      <w:r>
        <w:t xml:space="preserve"> </w:t>
      </w:r>
      <w:r>
        <w:t xml:space="preserve">- Code et réalisations : 15 pages (section 7)</w:t>
      </w:r>
      <w:r>
        <w:t xml:space="preserve"> </w:t>
      </w:r>
      <w:r>
        <w:t xml:space="preserve">- Sécurité : 18 pages (section 8)</w:t>
      </w:r>
      <w:r>
        <w:t xml:space="preserve"> </w:t>
      </w:r>
      <w:r>
        <w:t xml:space="preserve">- Tests et qualité : 28 pages (sections 9-10)</w:t>
      </w:r>
      <w:r>
        <w:t xml:space="preserve"> </w:t>
      </w:r>
      <w:r>
        <w:t xml:space="preserve">- Veille et conclusion : 5 pages (sections 11-12)</w:t>
      </w:r>
    </w:p>
    <w:p>
      <w:pPr>
        <w:pStyle w:val="BodyText"/>
      </w:pPr>
      <w:r>
        <w:rPr>
          <w:b/>
          <w:bCs/>
        </w:rPr>
        <w:t xml:space="preserve">Compétences CDA démontrées</w:t>
      </w:r>
      <w:r>
        <w:t xml:space="preserve"> </w:t>
      </w:r>
      <w:r>
        <w:t xml:space="preserve">:</w:t>
      </w:r>
      <w:r>
        <w:t xml:space="preserve"> </w:t>
      </w:r>
      <w:r>
        <w:t xml:space="preserve">- ✅ CDA-1.1, 1.2, 1.3 : Développement de composants</w:t>
      </w:r>
      <w:r>
        <w:t xml:space="preserve"> </w:t>
      </w:r>
      <w:r>
        <w:t xml:space="preserve">- ✅ CDA-2.1, 2.2, 2.3 : Architecture en couches</w:t>
      </w:r>
      <w:r>
        <w:t xml:space="preserve"> </w:t>
      </w:r>
      <w:r>
        <w:t xml:space="preserve">- ✅ CDA-3.1, 3.2, 3.3 : Sécurité et déploiement</w:t>
      </w:r>
      <w:r>
        <w:t xml:space="preserve"> </w:t>
      </w:r>
      <w:r>
        <w:t xml:space="preserve">- ✅ CDA-4 : Veille technologique</w:t>
      </w:r>
    </w:p>
    <w:p>
      <w:pPr>
        <w:pStyle w:val="BodyText"/>
      </w:pPr>
      <w:r>
        <w:rPr>
          <w:b/>
          <w:bCs/>
        </w:rPr>
        <w:t xml:space="preserve">Technologies principales</w:t>
      </w:r>
      <w:r>
        <w:t xml:space="preserve"> </w:t>
      </w:r>
      <w:r>
        <w:t xml:space="preserve">:</w:t>
      </w:r>
      <w:r>
        <w:t xml:space="preserve"> </w:t>
      </w:r>
      <w:r>
        <w:t xml:space="preserve">- Kotlin 2.2.0, Ktor 3.2.2, Exposed 0.61.0</w:t>
      </w:r>
      <w:r>
        <w:t xml:space="preserve"> </w:t>
      </w:r>
      <w:r>
        <w:t xml:space="preserve">- PostgreSQL 15, Docker, GitHub Actions</w:t>
      </w:r>
      <w:r>
        <w:t xml:space="preserve"> </w:t>
      </w:r>
      <w:r>
        <w:t xml:space="preserve">- Render (hébergement cloud)</w:t>
      </w:r>
    </w:p>
    <w:p>
      <w:pPr>
        <w:pStyle w:val="BodyText"/>
      </w:pPr>
      <w:r>
        <w:rPr>
          <w:b/>
          <w:bCs/>
        </w:rPr>
        <w:t xml:space="preserve">URL du projet</w:t>
      </w:r>
      <w:r>
        <w:t xml:space="preserve"> </w:t>
      </w:r>
      <w:r>
        <w:t xml:space="preserve">: https://github.com/jimni6/happyrow-core</w:t>
      </w:r>
      <w:r>
        <w:br/>
      </w:r>
      <w:r>
        <w:rPr>
          <w:b/>
          <w:bCs/>
        </w:rPr>
        <w:t xml:space="preserve">URL de déploiement</w:t>
      </w:r>
      <w:r>
        <w:t xml:space="preserve"> </w:t>
      </w:r>
      <w:r>
        <w:t xml:space="preserve">: https://happyrow-core.onrender.com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2026-01-07T08:01:45Z</dcterms:created>
  <dcterms:modified xsi:type="dcterms:W3CDTF">2026-01-07T08:01:45Z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