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b2be173622b4ec9b5cd72b0d0b9708d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市场中“高位”与“低位”的相对性本质，强调其取决于观察周期与参照系（如黄线均值、前高前低），并系统讲解了基于K线颜色（红/绿）动态数“四块砖”的短线交易战法，核心原则为“截断亏损、让利润奔跑”，同时指出该方法适用于A股、不适用于港股，并提醒投资者需结合自身性格选择B1/B2或专精图策略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546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051899a52e241e3b8c4ca389cb319d0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一、高位与低位的相对性定义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6c841b9-82a3-46c9-8ca9-0a0fba3f8238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核心观点：没有绝对高低，只有相对位置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895ac1-5830-45b0-8402-ad7ed1695894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高位或低位取决于所选观察周期：放在998–6240大区间中，4197是高位；若仅看近期波段，2635可能为低位。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062dbeb-0c25-4658-96b8-f176eeba4664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参照系决定判断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89bbd3-e22b-428e-bd46-e2971ba22acc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黄线代表市场均值，偏离黄线较远即界定为高位（上方）或低位（下方）。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ec26324-a734-4ace-baeb-354ac7efb765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动态视角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446965-5efe-4dda-9b6a-92a66d0d6430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同一位置，买入时为低位，止损后即成高位；上涨中为低位，下跌中则为高位。</w:t>
      </w:r>
      <w:bookmarkEnd w:id="100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1bc219a-5b2a-4877-93ff-30337f403334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实例验证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586a0a7-bcbe-40cd-8d73-7a887e99c606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“平地惊雷”式突破（突兀、倍量、破横盘）在趋势启动初期即为相对低位，事后验证成立。</w:t>
      </w:r>
      <w:bookmarkEnd w:id="101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4db8604d9df48d09b5aff143bbbb1ee" w:id="101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二、黄线交易法则与风控纪律 </w:t>
      </w:r>
      <w:bookmarkEnd w:id="101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9610714-535c-4c8f-aca4-7eb2c296907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黄线的核心意义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fee209d-6a52-4b67-aa67-e695e2feec3a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在上涨趋势中，黄线位置是关键支撑，是未来潜在低点。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98ed7d4-02be-4044-8df5-25b7137796cd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黄线跌破即熄火信号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3b09b8e-d7c9-4a6c-b781-2783d96d5fe2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若股价跌破黄线，大概率趋势终结，须果断离场。</w:t>
      </w:r>
      <w:bookmarkEnd w:id="1016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5eab03d-d10f-4a59-a3f9-5b9c8eee4e5f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成本优势决定持仓底气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ee9d05-c13f-4794-8e67-dce085bd8e1d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1149元买入者可持至4197（三倍收益），而4100元买入者无成本优势，不可死守。</w:t>
      </w:r>
      <w:bookmarkEnd w:id="101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ce8e4e8-9b38-43fc-a6bb-975a6c0744d2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右侧交易必要性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7e2b95c-574f-46a5-b29d-0a3aea4e27c7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即便参与黄线位置，也须右侧做交易，因该位置“可上可下”，需设止损。</w:t>
      </w:r>
      <w:bookmarkEnd w:id="102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c2db69175544cbd8a10c67ddb3917a5" w:id="102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三、“四块砖”战法操作细则 </w:t>
      </w:r>
      <w:bookmarkEnd w:id="102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734487-c2ea-4a6e-96df-97f528574e1c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基础规则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a20ba4-61d6-4dd7-a66c-2c88b0632405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以K线颜色为唯一计数依据：红砖（阳线）或绿砖（阴线）连续四根为一个单元。</w:t>
      </w:r>
      <w:bookmarkEnd w:id="102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06cec5-b225-42b5-9508-5dcba351f76b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数砖起点与重置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aa339cb-8634-404e-8f57-863c9afe920b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从首根红砖开始数1234；若第四根未翻绿，则继续；若中途翻绿，立即清仓并重新数。</w:t>
      </w:r>
      <w:bookmarkEnd w:id="102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4fe250-e03b-4be0-928d-7443abd71478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执行纪律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cbf3da-bffc-4708-8ec4-cb8b69f08b78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数满四块红砖后，须减仓或清仓；收盘前三分钟红翻绿，必须当日离场。</w:t>
      </w:r>
      <w:bookmarkEnd w:id="102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6522d5c-0a37-4575-9a90-8be09d7f183f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买入触发条件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43145c-151a-4013-bbfe-a566365db9b7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买入次日9:30未大幅拉升，9:33或9:37必须全部卖出。</w:t>
      </w:r>
      <w:bookmarkEnd w:id="102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70c3fca-8970-47df-a84c-03df39ac3fc6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适用范围限定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368c08-f8d7-4162-a2e6-dbc311d573e2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该战法仅基于A股历史数据量化验证，港股、美股未经测试，不适用。</w:t>
      </w:r>
      <w:bookmarkEnd w:id="103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b8368b86cb94aa4859368d692ba29bd" w:id="103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四、专精图 vs. B1/B2策略对比 </w:t>
      </w:r>
      <w:bookmarkEnd w:id="103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c01c452-521e-4c93-9f53-f4870acb7208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爆发力排序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ddce9b2-ea77-41f5-babf-af1219a4cd94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专精图平均涨幅2.87%，B2为2.46%，B1为2.14%；专精图更聚焦转折爆发。</w:t>
      </w:r>
      <w:bookmarkEnd w:id="103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660d2a5-28bd-40e6-be07-cd2523391681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策略适配逻辑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3b5a6a1-eb77-4456-9f6b-9aef13a7b62f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B1适合求稳新手（盈亏比低、容错高）；专精图适合能承受高波动者（风浪越大鱼越贵）。</w:t>
      </w:r>
      <w:bookmarkEnd w:id="103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0d4b494-a883-4fa2-a814-1995e2d5c48c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实操建议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1e75cf6-acad-4757-b572-1638eabee08e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大多数人应踏实做B1；若用专精图，务必配合数砖控制回撤，第三或第四块即止盈。</w:t>
      </w:r>
      <w:bookmarkEnd w:id="103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37a327525454f43ac17e0af5e1adde1" w:id="103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五、典型错误警示与心态管理 </w:t>
      </w:r>
      <w:bookmarkEnd w:id="103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1f7dda-1ba7-4da6-b611-f248770a0b67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“拿住不动”陷阱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619c9a0-d280-4067-884d-b5da29a60b78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真心坚持者极少，多数人高估自己承受力，70%浮盈常被回吐至30%甚至亏损。</w:t>
      </w:r>
      <w:bookmarkEnd w:id="104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650f54e-6ea3-4db8-9cd0-9eb0c00c6008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图形识别禁区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139a6a-1505-4207-9e3f-1e21acde767c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堆量+长上下影+犬牙交错+无序震荡的“狗啃式”图形，应直接放弃，不做B1。</w:t>
      </w:r>
      <w:bookmarkEnd w:id="104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ddfc93-6177-4aae-93ff-45f4b630bb9b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三波骗术辨析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24a411-d114-482d-9172-ed8ecd1f9705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“三波”非“三门重炮”：若第三波后未快速突破，极可能是主力出货诱多，须警惕。</w:t>
      </w:r>
      <w:bookmarkEnd w:id="104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06a59b-e64c-4a4a-b664-68f126548f0e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终极交易哲学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8fa2100-9df7-49e3-ac29-079419694bbf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市场唯一确定的是“应对”，而非预测；买点是情况，卖点是变化后的应对。</w:t>
      </w:r>
      <w:bookmarkEnd w:id="104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e7041f6424c4a2d94966216a07a20be" w:id="104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8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2026-04-02T04:49:00Z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X5csINUAX55GV3tUC2duNjzQGZE8dZITOe3PjvEQcY=","ProduceID":"ai_zongjie:ad5a4752a06cfb0c986f7ec8d6d0d501","ReservedCode2":"DX5csINUAX55GV3tUC2duNjzQGZE8dZITOe3PjvEQcY=","PropagateID":"ai_zongjie:ad5a4752a06cfb0c986f7ec8d6d0d501","ContentProducer":"001191440101MA9Y9T4H7A00000"}</vt:lpwstr>
  </property>
</Properties>
</file>