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6bce138204d45a3bc04ca305663d8c0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短线交易中基于“红砖”形态的三种核心买入定式（N型起跳、横盘起跳、上升波段延续）及其严格纪律——数四块红砖后必须减仓或清仓，并强调交易本质是概率游戏，需通过大量实盘训练克服情绪干扰，而非依赖技巧或完美条件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65278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9aff9a280384d2d8c79f425616e72b0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核心理念：交易即重复训练与情绪脱敏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d55ffcb-c942-44b9-9c9d-28d96521bba6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开户时长与能力关系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开户不到一年（如去年7月）即幻想掌握高阶技术，实为不切实际；类比“处男初恋失恋痛不欲生”到“第48次分手直接拉黑”，说明熟练度源于高频实践而非理论学习。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d908fc2-96fb-4274-8d67-5458ce20268a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“没有技巧”，只需“交易一万笔”“砍一千次”，通过重复建立本能反应；情绪稳定（“麻了”）是唯一门槛，非知识壁垒。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8d20f35-09b9-4183-b89f-5e75e061d8e7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纪律铁律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“数四块红砖”为绝对指令：第四块后必须减仓/清仓，反转则认亏，踏空亦认命；所有交易均有遗憾，核心是控制风险而非追求完美收益。</w:t>
      </w:r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94f3c42376e4f3ead1edd9b391225f9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三大买入定式详解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b32994e-bb6c-42a0-b97b-ba21697a7eb1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定式一：N型起跳 </w:t>
      </w:r>
      <w:bookmarkEnd w:id="100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e3bfdc4-90ec-4f5c-8665-4a3e8d6c4f85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K线呈现“低点→高点→低点→起跳”结构，即标准N型（如万邦达0324案例），起跳位置必须为红砖。</w:t>
      </w:r>
      <w:bookmarkEnd w:id="100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de934fa-2b28-4a25-a6b2-d841fe003b48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操作要点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买入后第二块红砖必须向上突破，若再横盘即失效；红砖需为“大块红砖”，小K线力度不足（如334句指出“K线那么大专还这么小，都没到一半就算了”）。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272f45c-9480-4ff0-b7ac-4dacee1483b2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定式二：横盘起跳 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a1354f-df3d-4129-95d7-17b2e2d8dcd8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价格在窄幅区间内横盘整理后出现红砖启动（如广俐葳250724、航发动力260212），横盘可为“大横盘加小横盘”，关键在于“有横盘动作的突破”。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983d6d4-a124-4227-9c2d-8004eeb9f87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操作要点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横盘后首根红砖即为买点，但需警惕“假突破”（如460句强调“起不来这位置起不来”）；成功标志是突破后连续红砖，失败则迅速离场。</w:t>
      </w:r>
      <w:bookmarkEnd w:id="1013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a2359f6-c504-42a3-a318-4c106ab2a4be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定式三：上升波段延续 </w:t>
      </w:r>
      <w:bookmarkEnd w:id="101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57bd93-6995-4dea-85e6-4f7725b88d46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上涨趋势中无显著回调，K线表现为“红→绿→红”快速切换（如海光信息250820），中间仅1-2根K线，非N型亦非横盘，属趋势惯性延续。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d2a5f8-37cd-40d7-ad71-97ca51dd4444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操作要点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需区别于“连续红砖无调整”的高风险形态（如182-184句指出“无本之木”“连续起来很难，不要做”）；必须确认前高突破（181句：“价值在于前面两个高点的突破”）。</w:t>
      </w:r>
      <w:bookmarkEnd w:id="101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6257ce93176493681a64ada9767d5ab" w:id="101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专精图与K线协同规则 </w:t>
      </w:r>
      <w:bookmarkEnd w:id="101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c5afab8-b0f9-4aa2-a0f0-8f5861845020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专精图核心价值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算法设计旨在规避K线欺骗（358句：“解决被所有人都能看懂的K线骗的问题”），主力难以伪造（473句：“想骗你一下有点难”）。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8e7e77e-171a-4075-b92c-280d3d4d81f3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买入触发条件</w:t>
      </w:r>
      <w:bookmarkEnd w:id="101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f836ce-196a-42e5-8e2f-a789337d462e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当日买入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：收盘前三分钟红砖变绿则立即离场（372句）。</w:t>
      </w:r>
      <w:bookmarkEnd w:id="1020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0ddfd25-b19f-4860-984f-06963d906fbb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次日应对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：开盘后9:33-9:37未大幅拉升即走（241、384句）；若高开4%以上可持有（395句）。</w:t>
      </w:r>
      <w:bookmarkEnd w:id="102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04176b7-6621-4a36-a7e8-79e75f10e53f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红砖判定标准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以专精图颜色为准（471句：“属砖红砖”），非K线视觉（381句：“先看专，再看其他乱七八糟”）；阳线实际跌幅2%仍属有效红砖（348句）。</w:t>
      </w:r>
      <w:bookmarkEnd w:id="102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959393d402540198a300dc3d3cc1991" w:id="102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卖出纪律与风险控制 </w:t>
      </w:r>
      <w:bookmarkEnd w:id="102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7a99b04-127e-4f02-bfc5-8eeb727938a2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四块红砖铁律</w:t>
      </w:r>
      <w:bookmarkEnd w:id="102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fee881f-59ce-4adb-b620-3e4b13ed2103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数满四块后必须执行：减仓或清仓（137、480句）；第五块砖即进入高危区（475句：“新一轮四块砖有可能反转”）。</w:t>
      </w:r>
      <w:bookmarkEnd w:id="102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1e25c8-eeac-45b5-a798-3feb593663f8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反转信号：绿砖出现即离场（119、238句）；若绿砖后接红砖，仍按原计划执行（484句：“又是一个绿专说对”）。</w:t>
      </w:r>
      <w:bookmarkEnd w:id="102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6a5b2e-1b76-413b-b000-86af510dee2e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仓位管理</w:t>
      </w:r>
      <w:bookmarkEnd w:id="102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f9bb999-06e8-4904-b8c8-197eba521320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四块砖后未离场，遇大绿棒子或“顶部大风车”须果断止损（344句）；</w:t>
      </w:r>
      <w:bookmarkEnd w:id="102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47a449f-4f00-43c9-9b98-fb2413bbd7a1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前有大绿柱压制时，建议卖半仓或1/3（410句：“很危险”）。</w:t>
      </w:r>
      <w:bookmarkEnd w:id="102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b1e91c6-8795-4cb3-b476-d21c649d63b1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心理建设</w:t>
      </w:r>
      <w:bookmarkEnd w:id="103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320a2d5-e42d-49c0-8932-1a98069ab039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接受“踏空”与“麦飞”（387句：“百分之百会有”）；</w:t>
      </w:r>
      <w:bookmarkEnd w:id="103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a1e136-16a5-4297-9cc8-0d5057537f6e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所有战法本质为“守株待兔”（436句），等待形态达标而非主动预测；</w:t>
      </w:r>
      <w:bookmarkEnd w:id="103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6661498-a351-46c0-a0d1-8471dc2577a8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交易即遗憾（444句：“娶了杨幂心里还想着迪丽热巴”），纪律是唯一确定性。</w:t>
      </w:r>
      <w:bookmarkEnd w:id="103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66424b3158748b38dfad88fd30007cb" w:id="103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案例验证与动态适配 </w:t>
      </w:r>
      <w:bookmarkEnd w:id="103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2840b62-1c50-443e-a17d-28837c38eba4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案例筛选逻辑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所选案例（如华盛锂电251028、江山股份250815）均为“极致标准图”，用于强化形态记忆（316、488句）；强调“非推荐，纯教学”。</w:t>
      </w:r>
      <w:bookmarkEnd w:id="103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773d819-c757-45f9-963e-1b3c4c5a0f62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动态判断原则</w:t>
      </w:r>
      <w:bookmarkEnd w:id="103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075195-b144-494c-9d26-300e3205ed58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定式可交叉（如400句：“定式一偏定式二”），需结合上下文；</w:t>
      </w:r>
      <w:bookmarkEnd w:id="103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9becb1-2857-4ecb-935c-ea466162c2b6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成交量非必要条件（289、492句：“不要把成交量考虑进去”），位置与形态优先；</w:t>
      </w:r>
      <w:bookmarkEnd w:id="103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38ce0c-dcf1-4653-859b-9cae761d1fc0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白线距离影响成功率（153句：“离白线太远，成功率低”），但需动态评估（180句：“大盘离开白线远，个股也会远”）。</w:t>
      </w:r>
      <w:bookmarkEnd w:id="103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f6e04b161df4824b19fcfc96985a3ee" w:id="104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0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2026-04-02T04:49:38Z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8yLieo3lmpheanhpD77b1wWOK4d58aiwriCka9CPCc=","ProduceID":"ai_zongjie:af9a7f7ec000505aca23f93c90a0fc03","ReservedCode2":"D8yLieo3lmpheanhpD77b1wWOK4d58aiwriCka9CPCc=","PropagateID":"ai_zongjie:af9a7f7ec000505aca23f93c90a0fc03","ContentProducer":"001191440101MA9Y9T4H7A00000"}</vt:lpwstr>
  </property>
</Properties>
</file>