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7026" w14:textId="77777777" w:rsidR="000C4637" w:rsidRDefault="000C4637">
      <w:pPr>
        <w:spacing w:before="480"/>
      </w:pPr>
    </w:p>
    <w:p w14:paraId="5A494B3B" w14:textId="5E810F4D" w:rsidR="000C4637" w:rsidRDefault="00DA0BA9">
      <w:pPr>
        <w:spacing w:after="80"/>
        <w:jc w:val="center"/>
      </w:pPr>
      <w:r>
        <w:rPr>
          <w:b/>
          <w:bCs/>
          <w:color w:val="1F4E79"/>
          <w:sz w:val="64"/>
          <w:szCs w:val="64"/>
        </w:rPr>
        <w:t>LOGISTICS</w:t>
      </w:r>
      <w:r w:rsidR="00000000">
        <w:rPr>
          <w:b/>
          <w:bCs/>
          <w:color w:val="1F4E79"/>
          <w:sz w:val="64"/>
          <w:szCs w:val="64"/>
        </w:rPr>
        <w:t xml:space="preserve"> OPERATIONS</w:t>
      </w:r>
      <w:r>
        <w:rPr>
          <w:b/>
          <w:bCs/>
          <w:color w:val="1F4E79"/>
          <w:sz w:val="64"/>
          <w:szCs w:val="64"/>
        </w:rPr>
        <w:t xml:space="preserve"> DATABASE 2</w:t>
      </w:r>
    </w:p>
    <w:p w14:paraId="48D7F6B7" w14:textId="77777777" w:rsidR="000C4637" w:rsidRDefault="00000000">
      <w:pPr>
        <w:spacing w:after="40"/>
        <w:jc w:val="center"/>
      </w:pPr>
      <w:r>
        <w:rPr>
          <w:b/>
          <w:bCs/>
          <w:color w:val="2E75B6"/>
          <w:sz w:val="48"/>
          <w:szCs w:val="48"/>
        </w:rPr>
        <w:t>Dashboard Insights Report</w:t>
      </w:r>
    </w:p>
    <w:p w14:paraId="2020B3FB" w14:textId="1834EC3E" w:rsidR="000C4637" w:rsidRDefault="00000000">
      <w:pPr>
        <w:pBdr>
          <w:bottom w:val="single" w:sz="12" w:space="8" w:color="2E75B6"/>
        </w:pBdr>
        <w:spacing w:after="200"/>
        <w:jc w:val="center"/>
      </w:pPr>
      <w:r>
        <w:rPr>
          <w:color w:val="555555"/>
        </w:rPr>
        <w:t xml:space="preserve">Comprehensive Analysis Across 6 Power BI </w:t>
      </w:r>
      <w:r w:rsidR="000C0C0D">
        <w:rPr>
          <w:color w:val="555555"/>
        </w:rPr>
        <w:t>Dashboards |</w:t>
      </w:r>
      <w:r>
        <w:rPr>
          <w:color w:val="555555"/>
        </w:rPr>
        <w:t xml:space="preserve"> 2022 – 2024</w:t>
      </w:r>
    </w:p>
    <w:p w14:paraId="21A5746F" w14:textId="77777777" w:rsidR="000C4637" w:rsidRDefault="000C463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4637" w14:paraId="0710948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D6E4F0"/>
            <w:tcMar>
              <w:top w:w="200" w:type="dxa"/>
              <w:left w:w="280" w:type="dxa"/>
              <w:bottom w:w="200" w:type="dxa"/>
              <w:right w:w="280" w:type="dxa"/>
            </w:tcMar>
          </w:tcPr>
          <w:p w14:paraId="63708E67" w14:textId="77777777" w:rsidR="000C4637" w:rsidRDefault="00000000">
            <w:r>
              <w:rPr>
                <w:color w:val="555555"/>
                <w:sz w:val="18"/>
                <w:szCs w:val="18"/>
              </w:rPr>
              <w:t>Prepared by</w:t>
            </w:r>
          </w:p>
          <w:p w14:paraId="7013FB94" w14:textId="77777777" w:rsidR="000C4637" w:rsidRDefault="00000000">
            <w:pPr>
              <w:spacing w:before="40"/>
            </w:pPr>
            <w:r>
              <w:rPr>
                <w:b/>
                <w:bCs/>
                <w:color w:val="1F4E79"/>
                <w:sz w:val="28"/>
                <w:szCs w:val="28"/>
              </w:rPr>
              <w:t>Jimoh Latifat Adenike</w:t>
            </w:r>
          </w:p>
        </w:tc>
        <w:tc>
          <w:tcPr>
            <w:tcW w:w="4680" w:type="dxa"/>
            <w:tcBorders>
              <w:top w:val="none" w:sz="0" w:space="0" w:color="FFFFFF"/>
              <w:left w:val="none" w:sz="0" w:space="0" w:color="FFFFFF"/>
              <w:bottom w:val="none" w:sz="0" w:space="0" w:color="FFFFFF"/>
              <w:right w:val="none" w:sz="0" w:space="0" w:color="FFFFFF"/>
            </w:tcBorders>
            <w:shd w:val="clear" w:color="auto" w:fill="F2F2F2"/>
            <w:tcMar>
              <w:top w:w="200" w:type="dxa"/>
              <w:left w:w="280" w:type="dxa"/>
              <w:bottom w:w="200" w:type="dxa"/>
              <w:right w:w="280" w:type="dxa"/>
            </w:tcMar>
          </w:tcPr>
          <w:p w14:paraId="49A747C3" w14:textId="77777777" w:rsidR="000C4637" w:rsidRDefault="00000000">
            <w:r>
              <w:rPr>
                <w:color w:val="555555"/>
                <w:sz w:val="18"/>
                <w:szCs w:val="18"/>
              </w:rPr>
              <w:t>Report Coverage</w:t>
            </w:r>
          </w:p>
          <w:p w14:paraId="3178EC5E" w14:textId="47A652CF" w:rsidR="000C4637" w:rsidRDefault="00000000">
            <w:pPr>
              <w:spacing w:before="40"/>
            </w:pPr>
            <w:r>
              <w:rPr>
                <w:b/>
                <w:bCs/>
                <w:color w:val="1F4E79"/>
              </w:rPr>
              <w:t xml:space="preserve">6 </w:t>
            </w:r>
            <w:r w:rsidR="00DA0BA9">
              <w:rPr>
                <w:b/>
                <w:bCs/>
                <w:color w:val="1F4E79"/>
              </w:rPr>
              <w:t>Dashboards | Final</w:t>
            </w:r>
            <w:r>
              <w:rPr>
                <w:b/>
                <w:bCs/>
                <w:color w:val="1F4E79"/>
              </w:rPr>
              <w:t xml:space="preserve"> Year Capstone Project</w:t>
            </w:r>
          </w:p>
        </w:tc>
      </w:tr>
    </w:tbl>
    <w:p w14:paraId="221F2310" w14:textId="77777777" w:rsidR="000C4637" w:rsidRDefault="000C4637">
      <w:pPr>
        <w:spacing w:before="200"/>
      </w:pPr>
    </w:p>
    <w:p w14:paraId="1F90E7BE" w14:textId="77777777" w:rsidR="000C4637" w:rsidRDefault="00000000">
      <w:pPr>
        <w:spacing w:before="200"/>
      </w:pPr>
      <w:r>
        <w:br w:type="page"/>
      </w:r>
    </w:p>
    <w:p w14:paraId="15173014" w14:textId="77777777" w:rsidR="000C4637" w:rsidRDefault="00000000">
      <w:pPr>
        <w:pStyle w:val="Heading1"/>
        <w:pBdr>
          <w:bottom w:val="single" w:sz="8" w:space="4" w:color="2E75B6"/>
        </w:pBdr>
      </w:pPr>
      <w:r>
        <w:lastRenderedPageBreak/>
        <w:t>Executive Overview</w:t>
      </w:r>
    </w:p>
    <w:p w14:paraId="359C30C1" w14:textId="77777777" w:rsidR="000C4637" w:rsidRDefault="00000000">
      <w:pPr>
        <w:spacing w:before="60" w:after="60"/>
      </w:pPr>
      <w:r>
        <w:rPr>
          <w:color w:val="1A1A1A"/>
        </w:rPr>
        <w:t>This report presents a detailed analytical summary of six Power BI dashboards built for the Final Year Capstone Project on Fleet Operations. The dashboards collectively cover executive performance, revenue and load analysis, driver behaviour and safety, fuel cost management, on-time delivery operations, and fleet health. All data spans fiscal years 2022 through 2024.</w:t>
      </w:r>
    </w:p>
    <w:p w14:paraId="44072C83" w14:textId="77777777" w:rsidR="000C4637" w:rsidRDefault="000C4637">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C4637" w14:paraId="70C1F5A3"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6243739B" w14:textId="77777777" w:rsidR="000C4637" w:rsidRDefault="00000000">
            <w:pPr>
              <w:jc w:val="center"/>
            </w:pPr>
            <w:r>
              <w:rPr>
                <w:b/>
                <w:bCs/>
                <w:color w:val="1F4E79"/>
                <w:sz w:val="32"/>
                <w:szCs w:val="32"/>
              </w:rPr>
              <w:t>$298.62M</w:t>
            </w:r>
          </w:p>
          <w:p w14:paraId="50B6EF3A" w14:textId="77777777" w:rsidR="000C4637" w:rsidRDefault="00000000">
            <w:pPr>
              <w:spacing w:before="40"/>
              <w:jc w:val="center"/>
            </w:pPr>
            <w:r>
              <w:rPr>
                <w:color w:val="444444"/>
                <w:sz w:val="18"/>
                <w:szCs w:val="18"/>
              </w:rPr>
              <w:t>Total Revenue</w:t>
            </w:r>
          </w:p>
        </w:tc>
        <w:tc>
          <w:tcPr>
            <w:tcW w:w="1872"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15046FD2" w14:textId="77777777" w:rsidR="000C4637" w:rsidRDefault="00000000">
            <w:pPr>
              <w:jc w:val="center"/>
            </w:pPr>
            <w:r>
              <w:rPr>
                <w:b/>
                <w:bCs/>
                <w:color w:val="1F4E79"/>
                <w:sz w:val="32"/>
                <w:szCs w:val="32"/>
              </w:rPr>
              <w:t>85.41K</w:t>
            </w:r>
          </w:p>
          <w:p w14:paraId="66428668" w14:textId="77777777" w:rsidR="000C4637" w:rsidRDefault="00000000">
            <w:pPr>
              <w:spacing w:before="40"/>
              <w:jc w:val="center"/>
            </w:pPr>
            <w:r>
              <w:rPr>
                <w:color w:val="444444"/>
                <w:sz w:val="18"/>
                <w:szCs w:val="18"/>
              </w:rPr>
              <w:t>Total Trips</w:t>
            </w:r>
          </w:p>
        </w:tc>
        <w:tc>
          <w:tcPr>
            <w:tcW w:w="1872" w:type="dxa"/>
            <w:tcBorders>
              <w:top w:val="none" w:sz="0" w:space="0" w:color="FFFFFF"/>
              <w:left w:val="none" w:sz="0" w:space="0" w:color="FFFFFF"/>
              <w:bottom w:val="none" w:sz="0" w:space="0" w:color="FFFFFF"/>
              <w:right w:val="none" w:sz="0" w:space="0" w:color="FFFFFF"/>
            </w:tcBorders>
            <w:shd w:val="clear" w:color="auto" w:fill="FCE4EC"/>
            <w:tcMar>
              <w:top w:w="120" w:type="dxa"/>
              <w:left w:w="160" w:type="dxa"/>
              <w:bottom w:w="120" w:type="dxa"/>
              <w:right w:w="160" w:type="dxa"/>
            </w:tcMar>
            <w:vAlign w:val="center"/>
          </w:tcPr>
          <w:p w14:paraId="212B29B0" w14:textId="77777777" w:rsidR="000C4637" w:rsidRDefault="00000000">
            <w:pPr>
              <w:jc w:val="center"/>
            </w:pPr>
            <w:r>
              <w:rPr>
                <w:b/>
                <w:bCs/>
                <w:color w:val="C00000"/>
                <w:sz w:val="32"/>
                <w:szCs w:val="32"/>
              </w:rPr>
              <w:t>44.61%</w:t>
            </w:r>
          </w:p>
          <w:p w14:paraId="0FEAF99E" w14:textId="77777777" w:rsidR="000C4637" w:rsidRDefault="00000000">
            <w:pPr>
              <w:spacing w:before="40"/>
              <w:jc w:val="center"/>
            </w:pPr>
            <w:r>
              <w:rPr>
                <w:color w:val="444444"/>
                <w:sz w:val="18"/>
                <w:szCs w:val="18"/>
              </w:rPr>
              <w:t>On-Time Rate</w:t>
            </w:r>
          </w:p>
        </w:tc>
        <w:tc>
          <w:tcPr>
            <w:tcW w:w="1872"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60" w:type="dxa"/>
            </w:tcMar>
            <w:vAlign w:val="center"/>
          </w:tcPr>
          <w:p w14:paraId="4476CA1C" w14:textId="77777777" w:rsidR="000C4637" w:rsidRDefault="00000000">
            <w:pPr>
              <w:jc w:val="center"/>
            </w:pPr>
            <w:r>
              <w:rPr>
                <w:b/>
                <w:bCs/>
                <w:color w:val="7F4F24"/>
                <w:sz w:val="32"/>
                <w:szCs w:val="32"/>
              </w:rPr>
              <w:t>32.0%</w:t>
            </w:r>
          </w:p>
          <w:p w14:paraId="1C34785A" w14:textId="77777777" w:rsidR="000C4637" w:rsidRDefault="00000000">
            <w:pPr>
              <w:spacing w:before="40"/>
              <w:jc w:val="center"/>
            </w:pPr>
            <w:r>
              <w:rPr>
                <w:color w:val="444444"/>
                <w:sz w:val="18"/>
                <w:szCs w:val="18"/>
              </w:rPr>
              <w:t>Fuel % of Revenue</w:t>
            </w:r>
          </w:p>
        </w:tc>
        <w:tc>
          <w:tcPr>
            <w:tcW w:w="1872" w:type="dxa"/>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vAlign w:val="center"/>
          </w:tcPr>
          <w:p w14:paraId="23F9E8EB" w14:textId="77777777" w:rsidR="000C4637" w:rsidRDefault="00000000">
            <w:pPr>
              <w:jc w:val="center"/>
            </w:pPr>
            <w:r>
              <w:rPr>
                <w:b/>
                <w:bCs/>
                <w:color w:val="375623"/>
                <w:sz w:val="32"/>
                <w:szCs w:val="32"/>
              </w:rPr>
              <w:t>83.0%</w:t>
            </w:r>
          </w:p>
          <w:p w14:paraId="45693924" w14:textId="77777777" w:rsidR="000C4637" w:rsidRDefault="00000000">
            <w:pPr>
              <w:spacing w:before="40"/>
              <w:jc w:val="center"/>
            </w:pPr>
            <w:r>
              <w:rPr>
                <w:color w:val="444444"/>
                <w:sz w:val="18"/>
                <w:szCs w:val="18"/>
              </w:rPr>
              <w:t>Fleet Utilisation</w:t>
            </w:r>
          </w:p>
        </w:tc>
      </w:tr>
    </w:tbl>
    <w:p w14:paraId="5BF96D11" w14:textId="77777777" w:rsidR="000C4637" w:rsidRDefault="000C4637">
      <w:pPr>
        <w:spacing w:before="60"/>
      </w:pPr>
    </w:p>
    <w:p w14:paraId="0ADA12F3" w14:textId="77777777" w:rsidR="000C4637" w:rsidRDefault="000C4637">
      <w:pPr>
        <w:pBdr>
          <w:bottom w:val="single" w:sz="4" w:space="4" w:color="D9D9D9"/>
        </w:pBdr>
        <w:spacing w:before="120" w:after="120"/>
      </w:pPr>
    </w:p>
    <w:p w14:paraId="6B15ABB9" w14:textId="77777777" w:rsidR="000C4637" w:rsidRDefault="00000000">
      <w:pPr>
        <w:pStyle w:val="Heading1"/>
        <w:pBdr>
          <w:bottom w:val="single" w:sz="8" w:space="4" w:color="2E75B6"/>
        </w:pBdr>
      </w:pPr>
      <w:r>
        <w:t>1. Fleet Operations — Executive Summary</w:t>
      </w:r>
    </w:p>
    <w:p w14:paraId="3969C1EE" w14:textId="77777777" w:rsidR="000C4637" w:rsidRDefault="00000000">
      <w:pPr>
        <w:spacing w:before="60" w:after="60"/>
      </w:pPr>
      <w:r>
        <w:rPr>
          <w:color w:val="1A1A1A"/>
        </w:rPr>
        <w:t>The executive summary dashboard provides a high-level view of fleet-wide performance across trips, revenue, mileage, and operational efficiency. It serves as the entry point for understanding the fleet's overall health and commercial output.</w:t>
      </w:r>
    </w:p>
    <w:p w14:paraId="2941ACB1" w14:textId="77777777" w:rsidR="000C4637" w:rsidRDefault="000C4637">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C4637" w14:paraId="4DD5C21F"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578AC4FC" w14:textId="77777777" w:rsidR="000C4637" w:rsidRDefault="00000000">
            <w:pPr>
              <w:jc w:val="center"/>
            </w:pPr>
            <w:r>
              <w:rPr>
                <w:b/>
                <w:bCs/>
                <w:color w:val="1F4E79"/>
                <w:sz w:val="32"/>
                <w:szCs w:val="32"/>
              </w:rPr>
              <w:t>$298.62M</w:t>
            </w:r>
          </w:p>
          <w:p w14:paraId="01B3EAB7" w14:textId="77777777" w:rsidR="000C4637" w:rsidRDefault="00000000">
            <w:pPr>
              <w:spacing w:before="40"/>
              <w:jc w:val="center"/>
            </w:pPr>
            <w:r>
              <w:rPr>
                <w:color w:val="444444"/>
                <w:sz w:val="18"/>
                <w:szCs w:val="18"/>
              </w:rPr>
              <w:t>Total Revenue</w:t>
            </w:r>
          </w:p>
        </w:tc>
        <w:tc>
          <w:tcPr>
            <w:tcW w:w="1872"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6E4028EC" w14:textId="77777777" w:rsidR="000C4637" w:rsidRDefault="00000000">
            <w:pPr>
              <w:jc w:val="center"/>
            </w:pPr>
            <w:r>
              <w:rPr>
                <w:b/>
                <w:bCs/>
                <w:color w:val="1F4E79"/>
                <w:sz w:val="32"/>
                <w:szCs w:val="32"/>
              </w:rPr>
              <w:t>85.41K</w:t>
            </w:r>
          </w:p>
          <w:p w14:paraId="2E6ED9A7" w14:textId="77777777" w:rsidR="000C4637" w:rsidRDefault="00000000">
            <w:pPr>
              <w:spacing w:before="40"/>
              <w:jc w:val="center"/>
            </w:pPr>
            <w:r>
              <w:rPr>
                <w:color w:val="444444"/>
                <w:sz w:val="18"/>
                <w:szCs w:val="18"/>
              </w:rPr>
              <w:t>Total Trips</w:t>
            </w:r>
          </w:p>
        </w:tc>
        <w:tc>
          <w:tcPr>
            <w:tcW w:w="1872"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6DA0A612" w14:textId="77777777" w:rsidR="000C4637" w:rsidRDefault="00000000">
            <w:pPr>
              <w:jc w:val="center"/>
            </w:pPr>
            <w:r>
              <w:rPr>
                <w:b/>
                <w:bCs/>
                <w:color w:val="1F4E79"/>
                <w:sz w:val="32"/>
                <w:szCs w:val="32"/>
              </w:rPr>
              <w:t>122.16K</w:t>
            </w:r>
          </w:p>
          <w:p w14:paraId="470FE88A" w14:textId="77777777" w:rsidR="000C4637" w:rsidRDefault="00000000">
            <w:pPr>
              <w:spacing w:before="40"/>
              <w:jc w:val="center"/>
            </w:pPr>
            <w:r>
              <w:rPr>
                <w:color w:val="444444"/>
                <w:sz w:val="18"/>
                <w:szCs w:val="18"/>
              </w:rPr>
              <w:t>Total Miles</w:t>
            </w:r>
          </w:p>
        </w:tc>
        <w:tc>
          <w:tcPr>
            <w:tcW w:w="1872"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4858D478" w14:textId="77777777" w:rsidR="000C4637" w:rsidRDefault="00000000">
            <w:pPr>
              <w:jc w:val="center"/>
            </w:pPr>
            <w:r>
              <w:rPr>
                <w:b/>
                <w:bCs/>
                <w:color w:val="1F4E79"/>
                <w:sz w:val="32"/>
                <w:szCs w:val="32"/>
              </w:rPr>
              <w:t>6.45 MPG</w:t>
            </w:r>
          </w:p>
          <w:p w14:paraId="12DBCD5F" w14:textId="77777777" w:rsidR="000C4637" w:rsidRDefault="00000000">
            <w:pPr>
              <w:spacing w:before="40"/>
              <w:jc w:val="center"/>
            </w:pPr>
            <w:r>
              <w:rPr>
                <w:color w:val="444444"/>
                <w:sz w:val="18"/>
                <w:szCs w:val="18"/>
              </w:rPr>
              <w:t>Fleet MPG</w:t>
            </w:r>
          </w:p>
        </w:tc>
        <w:tc>
          <w:tcPr>
            <w:tcW w:w="1872" w:type="dxa"/>
            <w:tcBorders>
              <w:top w:val="none" w:sz="0" w:space="0" w:color="FFFFFF"/>
              <w:left w:val="none" w:sz="0" w:space="0" w:color="FFFFFF"/>
              <w:bottom w:val="none" w:sz="0" w:space="0" w:color="FFFFFF"/>
              <w:right w:val="none" w:sz="0" w:space="0" w:color="FFFFFF"/>
            </w:tcBorders>
            <w:shd w:val="clear" w:color="auto" w:fill="FCE4EC"/>
            <w:tcMar>
              <w:top w:w="120" w:type="dxa"/>
              <w:left w:w="160" w:type="dxa"/>
              <w:bottom w:w="120" w:type="dxa"/>
              <w:right w:w="160" w:type="dxa"/>
            </w:tcMar>
            <w:vAlign w:val="center"/>
          </w:tcPr>
          <w:p w14:paraId="15627DD2" w14:textId="77777777" w:rsidR="000C4637" w:rsidRDefault="00000000">
            <w:pPr>
              <w:jc w:val="center"/>
            </w:pPr>
            <w:r>
              <w:rPr>
                <w:b/>
                <w:bCs/>
                <w:color w:val="C00000"/>
                <w:sz w:val="32"/>
                <w:szCs w:val="32"/>
              </w:rPr>
              <w:t>44.61%</w:t>
            </w:r>
          </w:p>
          <w:p w14:paraId="7E819FA0" w14:textId="77777777" w:rsidR="000C4637" w:rsidRDefault="00000000">
            <w:pPr>
              <w:spacing w:before="40"/>
              <w:jc w:val="center"/>
            </w:pPr>
            <w:r>
              <w:rPr>
                <w:color w:val="444444"/>
                <w:sz w:val="18"/>
                <w:szCs w:val="18"/>
              </w:rPr>
              <w:t>On-Time Rate</w:t>
            </w:r>
          </w:p>
        </w:tc>
      </w:tr>
    </w:tbl>
    <w:p w14:paraId="1C8508FD" w14:textId="77777777" w:rsidR="000C4637" w:rsidRDefault="000C4637">
      <w:pPr>
        <w:spacing w:before="80" w:after="40"/>
      </w:pPr>
    </w:p>
    <w:p w14:paraId="36B690B3" w14:textId="77777777" w:rsidR="000C4637" w:rsidRDefault="00000000">
      <w:pPr>
        <w:spacing w:before="160" w:after="60"/>
      </w:pPr>
      <w:r>
        <w:rPr>
          <w:b/>
          <w:bCs/>
          <w:color w:val="1F4E79"/>
          <w:sz w:val="24"/>
          <w:szCs w:val="24"/>
        </w:rPr>
        <w:t>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068F7D2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14DA051D"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0B02D419" w14:textId="77777777" w:rsidR="000C4637" w:rsidRDefault="00000000">
            <w:pPr>
              <w:spacing w:after="40"/>
            </w:pPr>
            <w:r>
              <w:rPr>
                <w:b/>
                <w:bCs/>
                <w:color w:val="1A1A1A"/>
              </w:rPr>
              <w:t xml:space="preserve">Revenue Decline Trend: </w:t>
            </w:r>
            <w:r>
              <w:rPr>
                <w:color w:val="1A1A1A"/>
              </w:rPr>
              <w:t>Monthly revenue peaked at approximately $25.5M (October–January) and has steadily declined to $23M by February — a drop of roughly 10% over the tracked period. This downward trajectory requires immediate commercial strategy review and investigation into whether pricing, load mix, or customer churn is the primary driver.</w:t>
            </w:r>
          </w:p>
        </w:tc>
      </w:tr>
    </w:tbl>
    <w:p w14:paraId="49C1123D"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7CD1AAE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0EE59C88"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19B2D63D" w14:textId="77777777" w:rsidR="000C4637" w:rsidRDefault="00000000">
            <w:pPr>
              <w:spacing w:after="40"/>
            </w:pPr>
            <w:r>
              <w:rPr>
                <w:b/>
                <w:bCs/>
                <w:color w:val="1A1A1A"/>
              </w:rPr>
              <w:t xml:space="preserve">Booking Type Concentration Risk: </w:t>
            </w:r>
            <w:r>
              <w:rPr>
                <w:color w:val="1A1A1A"/>
              </w:rPr>
              <w:t>Dedicated contracts account for the largest share of revenue at 49.6% ($148.12M), while Spot (25.26%, $75.44M) and Contract (25.14%, $75.06M) types each contribute approximately a quarter. The heavy reliance on dedicated clients creates concentration risk — if key dedicated accounts are lost, revenue would disproportionately suffer.</w:t>
            </w:r>
          </w:p>
        </w:tc>
      </w:tr>
    </w:tbl>
    <w:p w14:paraId="1296BB29"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5F7FCE5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3B96D9F4"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2534391D" w14:textId="77777777" w:rsidR="000C4637" w:rsidRDefault="00000000">
            <w:pPr>
              <w:spacing w:after="40"/>
            </w:pPr>
            <w:r>
              <w:rPr>
                <w:b/>
                <w:bCs/>
                <w:color w:val="1A1A1A"/>
              </w:rPr>
              <w:t xml:space="preserve">Top Customer Revenue Leadership: </w:t>
            </w:r>
            <w:r>
              <w:rPr>
                <w:color w:val="1A1A1A"/>
              </w:rPr>
              <w:t>First Group leads all customers with $10.39M in revenue — nearly 43% more than the second-highest, First Logistics ($7.27M). The top 10 customers range from $4.60M to $10.39M, indicating moderate diversification within the premium tier but meaningful dependency on the top two accounts.</w:t>
            </w:r>
          </w:p>
        </w:tc>
      </w:tr>
    </w:tbl>
    <w:p w14:paraId="451C0ABE"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03FED6D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tcPr>
          <w:p w14:paraId="5FD4EFC4"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E2EFDA"/>
            <w:tcMar>
              <w:top w:w="80" w:type="dxa"/>
              <w:left w:w="120" w:type="dxa"/>
              <w:bottom w:w="80" w:type="dxa"/>
              <w:right w:w="80" w:type="dxa"/>
            </w:tcMar>
          </w:tcPr>
          <w:p w14:paraId="06FF1CC1" w14:textId="77777777" w:rsidR="000C4637" w:rsidRDefault="00000000">
            <w:pPr>
              <w:spacing w:after="40"/>
            </w:pPr>
            <w:r>
              <w:rPr>
                <w:b/>
                <w:bCs/>
                <w:color w:val="1A1A1A"/>
              </w:rPr>
              <w:t xml:space="preserve">Trip Volume Growth: </w:t>
            </w:r>
            <w:r>
              <w:rPr>
                <w:color w:val="1A1A1A"/>
              </w:rPr>
              <w:t xml:space="preserve">Trip volumes have grown year-over-year: 2024 recorded 28.7K trips (the highest), up from 28.2K in 2023 and 28.6K in 2022. This confirms that </w:t>
            </w:r>
            <w:r>
              <w:rPr>
                <w:color w:val="1A1A1A"/>
              </w:rPr>
              <w:lastRenderedPageBreak/>
              <w:t>operational volume is expanding — however, revenue per trip appears to be softening, as total revenue has not grown proportionally with trip volume.</w:t>
            </w:r>
          </w:p>
        </w:tc>
      </w:tr>
    </w:tbl>
    <w:p w14:paraId="62845E20"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2FE0775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0B1BED09"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49612BF7" w14:textId="77777777" w:rsidR="000C4637" w:rsidRDefault="00000000">
            <w:pPr>
              <w:spacing w:after="40"/>
            </w:pPr>
            <w:r>
              <w:rPr>
                <w:b/>
                <w:bCs/>
                <w:color w:val="1A1A1A"/>
              </w:rPr>
              <w:t xml:space="preserve">Critical On-Time Rate: </w:t>
            </w:r>
            <w:r>
              <w:rPr>
                <w:color w:val="1A1A1A"/>
              </w:rPr>
              <w:t>An on-time delivery rate of only 44.61% means fewer than half of all trips arrive on time. This is a systemic operational failure that likely fuels customer dissatisfaction, detention charges, and potential contract loss at renewal.</w:t>
            </w:r>
          </w:p>
        </w:tc>
      </w:tr>
    </w:tbl>
    <w:p w14:paraId="514E87C3" w14:textId="77777777" w:rsidR="000C4637" w:rsidRDefault="000C4637">
      <w:pPr>
        <w:pBdr>
          <w:bottom w:val="single" w:sz="4" w:space="4" w:color="D9D9D9"/>
        </w:pBdr>
        <w:spacing w:before="120" w:after="120"/>
      </w:pPr>
    </w:p>
    <w:p w14:paraId="4CBB3129" w14:textId="77777777" w:rsidR="000C4637" w:rsidRDefault="00000000">
      <w:pPr>
        <w:pStyle w:val="Heading1"/>
        <w:pBdr>
          <w:bottom w:val="single" w:sz="8" w:space="4" w:color="2E75B6"/>
        </w:pBdr>
      </w:pPr>
      <w:r>
        <w:t>2. Revenue &amp; Load Analysis</w:t>
      </w:r>
    </w:p>
    <w:p w14:paraId="4459CC42" w14:textId="77777777" w:rsidR="000C4637" w:rsidRDefault="00000000">
      <w:pPr>
        <w:spacing w:before="60" w:after="60"/>
      </w:pPr>
      <w:r>
        <w:rPr>
          <w:color w:val="1A1A1A"/>
        </w:rPr>
        <w:t>This dashboard provides a granular breakdown of how revenue is generated across booking types, customers, routes, and load categories. It identifies the primary commercial drivers and highlights where revenue concentration and risk exist.</w:t>
      </w:r>
    </w:p>
    <w:p w14:paraId="43FDDC10" w14:textId="77777777" w:rsidR="000C4637" w:rsidRDefault="000C4637">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C4637" w14:paraId="0AF77E4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7CF034B7" w14:textId="77777777" w:rsidR="000C4637" w:rsidRDefault="00000000">
            <w:pPr>
              <w:jc w:val="center"/>
            </w:pPr>
            <w:r>
              <w:rPr>
                <w:b/>
                <w:bCs/>
                <w:color w:val="1F4E79"/>
                <w:sz w:val="32"/>
                <w:szCs w:val="32"/>
              </w:rPr>
              <w:t>$3,496</w:t>
            </w:r>
          </w:p>
          <w:p w14:paraId="262347B1" w14:textId="77777777" w:rsidR="000C4637" w:rsidRDefault="00000000">
            <w:pPr>
              <w:spacing w:before="40"/>
              <w:jc w:val="center"/>
            </w:pPr>
            <w:r>
              <w:rPr>
                <w:color w:val="444444"/>
                <w:sz w:val="18"/>
                <w:szCs w:val="18"/>
              </w:rPr>
              <w:t>Avg Revenue/Load</w:t>
            </w:r>
          </w:p>
        </w:tc>
        <w:tc>
          <w:tcPr>
            <w:tcW w:w="234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32822AD7" w14:textId="77777777" w:rsidR="000C4637" w:rsidRDefault="00000000">
            <w:pPr>
              <w:jc w:val="center"/>
            </w:pPr>
            <w:r>
              <w:rPr>
                <w:b/>
                <w:bCs/>
                <w:color w:val="1F4E79"/>
                <w:sz w:val="32"/>
                <w:szCs w:val="32"/>
              </w:rPr>
              <w:t>85K</w:t>
            </w:r>
          </w:p>
          <w:p w14:paraId="46B25644" w14:textId="77777777" w:rsidR="000C4637" w:rsidRDefault="00000000">
            <w:pPr>
              <w:spacing w:before="40"/>
              <w:jc w:val="center"/>
            </w:pPr>
            <w:r>
              <w:rPr>
                <w:color w:val="444444"/>
                <w:sz w:val="18"/>
                <w:szCs w:val="18"/>
              </w:rPr>
              <w:t>Total Loads</w:t>
            </w:r>
          </w:p>
        </w:tc>
        <w:tc>
          <w:tcPr>
            <w:tcW w:w="234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42A45894" w14:textId="77777777" w:rsidR="000C4637" w:rsidRDefault="00000000">
            <w:pPr>
              <w:jc w:val="center"/>
            </w:pPr>
            <w:r>
              <w:rPr>
                <w:b/>
                <w:bCs/>
                <w:color w:val="1F4E79"/>
                <w:sz w:val="32"/>
                <w:szCs w:val="32"/>
              </w:rPr>
              <w:t>$29.98M</w:t>
            </w:r>
          </w:p>
          <w:p w14:paraId="35E6F27E" w14:textId="77777777" w:rsidR="000C4637" w:rsidRDefault="00000000">
            <w:pPr>
              <w:spacing w:before="40"/>
              <w:jc w:val="center"/>
            </w:pPr>
            <w:r>
              <w:rPr>
                <w:color w:val="444444"/>
                <w:sz w:val="18"/>
                <w:szCs w:val="18"/>
              </w:rPr>
              <w:t>Fuel Surcharge</w:t>
            </w:r>
          </w:p>
        </w:tc>
        <w:tc>
          <w:tcPr>
            <w:tcW w:w="234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77F1A59C" w14:textId="77777777" w:rsidR="000C4637" w:rsidRDefault="00000000">
            <w:pPr>
              <w:jc w:val="center"/>
            </w:pPr>
            <w:r>
              <w:rPr>
                <w:b/>
                <w:bCs/>
                <w:color w:val="1F4E79"/>
                <w:sz w:val="32"/>
                <w:szCs w:val="32"/>
              </w:rPr>
              <w:t>$2.15</w:t>
            </w:r>
          </w:p>
          <w:p w14:paraId="0C6B49B6" w14:textId="77777777" w:rsidR="000C4637" w:rsidRDefault="00000000">
            <w:pPr>
              <w:spacing w:before="40"/>
              <w:jc w:val="center"/>
            </w:pPr>
            <w:r>
              <w:rPr>
                <w:color w:val="444444"/>
                <w:sz w:val="18"/>
                <w:szCs w:val="18"/>
              </w:rPr>
              <w:t>Revenue Per Mile</w:t>
            </w:r>
          </w:p>
        </w:tc>
      </w:tr>
    </w:tbl>
    <w:p w14:paraId="53B4DF68" w14:textId="77777777" w:rsidR="000C4637" w:rsidRDefault="000C4637">
      <w:pPr>
        <w:spacing w:before="80" w:after="40"/>
      </w:pPr>
    </w:p>
    <w:p w14:paraId="5CEB82A7" w14:textId="77777777" w:rsidR="000C4637" w:rsidRDefault="00000000">
      <w:pPr>
        <w:spacing w:before="160" w:after="60"/>
      </w:pPr>
      <w:r>
        <w:rPr>
          <w:b/>
          <w:bCs/>
          <w:color w:val="1F4E79"/>
          <w:sz w:val="24"/>
          <w:szCs w:val="24"/>
        </w:rPr>
        <w:t>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472ABC1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520033C2"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6CCE7350" w14:textId="77777777" w:rsidR="000C4637" w:rsidRDefault="00000000">
            <w:pPr>
              <w:spacing w:after="40"/>
            </w:pPr>
            <w:r>
              <w:rPr>
                <w:b/>
                <w:bCs/>
                <w:color w:val="1A1A1A"/>
              </w:rPr>
              <w:t xml:space="preserve">Booking Revenue Stability: </w:t>
            </w:r>
            <w:r>
              <w:rPr>
                <w:color w:val="1A1A1A"/>
              </w:rPr>
              <w:t xml:space="preserve">Monthly revenue by booking type is remarkably stable across 2022, 2023, and 2024. Dedicated bookings consistently generate the highest monthly figures (~$12M per month), while Spot and Contract </w:t>
            </w:r>
            <w:proofErr w:type="gramStart"/>
            <w:r>
              <w:rPr>
                <w:color w:val="1A1A1A"/>
              </w:rPr>
              <w:t>types</w:t>
            </w:r>
            <w:proofErr w:type="gramEnd"/>
            <w:r>
              <w:rPr>
                <w:color w:val="1A1A1A"/>
              </w:rPr>
              <w:t xml:space="preserve"> each hover in the $6–6.7M range. This consistency signals locked-in client commitments but also reflects limited upside growth potential without structural changes to the booking mix.</w:t>
            </w:r>
          </w:p>
        </w:tc>
      </w:tr>
    </w:tbl>
    <w:p w14:paraId="4D7EE49F"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2DD2D366"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181583ED"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0C72DE9D" w14:textId="77777777" w:rsidR="000C4637" w:rsidRDefault="00000000">
            <w:pPr>
              <w:spacing w:after="40"/>
            </w:pPr>
            <w:r>
              <w:rPr>
                <w:b/>
                <w:bCs/>
                <w:color w:val="1A1A1A"/>
              </w:rPr>
              <w:t xml:space="preserve">Revenue Component Consistency: </w:t>
            </w:r>
            <w:r>
              <w:rPr>
                <w:color w:val="1A1A1A"/>
              </w:rPr>
              <w:t>Base revenue constitutes approximately 87.9% of total across all three years, with fuel surcharges making up ~10% and accessorial charges ~2%. The near-identical proportions year-over-year suggest operational maturity and predictable pricing structures — but also indicate that new revenue streams or pricing innovation have not been explored.</w:t>
            </w:r>
          </w:p>
        </w:tc>
      </w:tr>
    </w:tbl>
    <w:p w14:paraId="0C04C9E6"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73BF151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tcPr>
          <w:p w14:paraId="2EC227DD"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E2EFDA"/>
            <w:tcMar>
              <w:top w:w="80" w:type="dxa"/>
              <w:left w:w="120" w:type="dxa"/>
              <w:bottom w:w="80" w:type="dxa"/>
              <w:right w:w="80" w:type="dxa"/>
            </w:tcMar>
          </w:tcPr>
          <w:p w14:paraId="698022AC" w14:textId="77777777" w:rsidR="000C4637" w:rsidRDefault="00000000">
            <w:pPr>
              <w:spacing w:after="40"/>
            </w:pPr>
            <w:r>
              <w:rPr>
                <w:b/>
                <w:bCs/>
                <w:color w:val="1A1A1A"/>
              </w:rPr>
              <w:t xml:space="preserve">Long-Haul Routes Dominate Revenue: </w:t>
            </w:r>
            <w:r>
              <w:rPr>
                <w:color w:val="1A1A1A"/>
              </w:rPr>
              <w:t>Charlotte to Portland is the highest-revenue route at $11.23M, followed by Seattle to Charlotte ($10.93M) and Columbus to Portland ($10.91M). All top routes are cross-country long-haul lanes, confirming that high-mileage operations are the primary revenue engine for the fleet.</w:t>
            </w:r>
          </w:p>
        </w:tc>
      </w:tr>
    </w:tbl>
    <w:p w14:paraId="049845A9"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5E68D21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60B50A15"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1C50AF7B" w14:textId="77777777" w:rsidR="000C4637" w:rsidRDefault="00000000">
            <w:pPr>
              <w:spacing w:after="40"/>
            </w:pPr>
            <w:r>
              <w:rPr>
                <w:b/>
                <w:bCs/>
                <w:color w:val="1A1A1A"/>
              </w:rPr>
              <w:t xml:space="preserve">Unique Customer Booking Profile: </w:t>
            </w:r>
            <w:r>
              <w:rPr>
                <w:color w:val="1A1A1A"/>
              </w:rPr>
              <w:t>XYZ Wholesale generates its revenue almost entirely from Contract bookings ($6.02M), in contrast to other top customers who are primarily Dedicated. This is a distinct commercial relationship worth both protecting and potentially replicating as a template for contract-based growth strategies.</w:t>
            </w:r>
          </w:p>
        </w:tc>
      </w:tr>
    </w:tbl>
    <w:p w14:paraId="765045A5"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64DB507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008CB8DE"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319CBBBF" w14:textId="77777777" w:rsidR="000C4637" w:rsidRDefault="00000000">
            <w:pPr>
              <w:spacing w:after="40"/>
            </w:pPr>
            <w:r>
              <w:rPr>
                <w:b/>
                <w:bCs/>
                <w:color w:val="1A1A1A"/>
              </w:rPr>
              <w:t xml:space="preserve">Load Type Diversity: </w:t>
            </w:r>
            <w:r>
              <w:rPr>
                <w:color w:val="1A1A1A"/>
              </w:rPr>
              <w:t xml:space="preserve">The fleet handles both Dry Van and Refrigerated loads, with dashboard filters allowing performance comparison across load types. This capability is </w:t>
            </w:r>
            <w:r>
              <w:rPr>
                <w:color w:val="1A1A1A"/>
              </w:rPr>
              <w:lastRenderedPageBreak/>
              <w:t>valuable for differential pricing analysis and identifying whether one load type is underperforming on revenue per mile or on-time rates.</w:t>
            </w:r>
          </w:p>
        </w:tc>
      </w:tr>
    </w:tbl>
    <w:p w14:paraId="4CAB1F3D" w14:textId="77777777" w:rsidR="000C4637" w:rsidRDefault="000C4637">
      <w:pPr>
        <w:pBdr>
          <w:bottom w:val="single" w:sz="4" w:space="4" w:color="D9D9D9"/>
        </w:pBdr>
        <w:spacing w:before="120" w:after="120"/>
      </w:pPr>
    </w:p>
    <w:p w14:paraId="5BDA5142" w14:textId="77777777" w:rsidR="000C4637" w:rsidRDefault="00000000">
      <w:pPr>
        <w:pStyle w:val="Heading1"/>
        <w:pBdr>
          <w:bottom w:val="single" w:sz="8" w:space="4" w:color="2E75B6"/>
        </w:pBdr>
      </w:pPr>
      <w:r>
        <w:t>3. Driver Performance &amp; Safety</w:t>
      </w:r>
    </w:p>
    <w:p w14:paraId="616C329B" w14:textId="77777777" w:rsidR="000C4637" w:rsidRDefault="00000000">
      <w:pPr>
        <w:spacing w:before="60" w:after="60"/>
      </w:pPr>
      <w:r>
        <w:rPr>
          <w:color w:val="1A1A1A"/>
        </w:rPr>
        <w:t>This dashboard examines individual and terminal-level driver performance across fuel efficiency, on-time delivery, total trips completed, and safety incident records. It enables targeted interventions to improve both efficiency and safety outcomes.</w:t>
      </w:r>
    </w:p>
    <w:p w14:paraId="0EDE5827" w14:textId="77777777" w:rsidR="000C4637" w:rsidRDefault="000C4637">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C4637" w14:paraId="0255F180"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02E87C9B" w14:textId="77777777" w:rsidR="000C4637" w:rsidRDefault="00000000">
            <w:pPr>
              <w:jc w:val="center"/>
            </w:pPr>
            <w:r>
              <w:rPr>
                <w:b/>
                <w:bCs/>
                <w:color w:val="1F4E79"/>
                <w:sz w:val="32"/>
                <w:szCs w:val="32"/>
              </w:rPr>
              <w:t>124</w:t>
            </w:r>
          </w:p>
          <w:p w14:paraId="2C00EEC5" w14:textId="77777777" w:rsidR="000C4637" w:rsidRDefault="00000000">
            <w:pPr>
              <w:spacing w:before="40"/>
              <w:jc w:val="center"/>
            </w:pPr>
            <w:r>
              <w:rPr>
                <w:color w:val="444444"/>
                <w:sz w:val="18"/>
                <w:szCs w:val="18"/>
              </w:rPr>
              <w:t>Active Drivers</w:t>
            </w:r>
          </w:p>
        </w:tc>
        <w:tc>
          <w:tcPr>
            <w:tcW w:w="1872"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60" w:type="dxa"/>
            </w:tcMar>
            <w:vAlign w:val="center"/>
          </w:tcPr>
          <w:p w14:paraId="3AD4D8B5" w14:textId="77777777" w:rsidR="000C4637" w:rsidRDefault="00000000">
            <w:pPr>
              <w:jc w:val="center"/>
            </w:pPr>
            <w:r>
              <w:rPr>
                <w:b/>
                <w:bCs/>
                <w:color w:val="7F4F24"/>
                <w:sz w:val="32"/>
                <w:szCs w:val="32"/>
              </w:rPr>
              <w:t>38.98%</w:t>
            </w:r>
          </w:p>
          <w:p w14:paraId="128A59C5" w14:textId="77777777" w:rsidR="000C4637" w:rsidRDefault="00000000">
            <w:pPr>
              <w:spacing w:before="40"/>
              <w:jc w:val="center"/>
            </w:pPr>
            <w:r>
              <w:rPr>
                <w:color w:val="444444"/>
                <w:sz w:val="18"/>
                <w:szCs w:val="18"/>
              </w:rPr>
              <w:t>Avg Idle %</w:t>
            </w:r>
          </w:p>
        </w:tc>
        <w:tc>
          <w:tcPr>
            <w:tcW w:w="1872" w:type="dxa"/>
            <w:tcBorders>
              <w:top w:val="none" w:sz="0" w:space="0" w:color="FFFFFF"/>
              <w:left w:val="none" w:sz="0" w:space="0" w:color="FFFFFF"/>
              <w:bottom w:val="none" w:sz="0" w:space="0" w:color="FFFFFF"/>
              <w:right w:val="none" w:sz="0" w:space="0" w:color="FFFFFF"/>
            </w:tcBorders>
            <w:shd w:val="clear" w:color="auto" w:fill="FCE4EC"/>
            <w:tcMar>
              <w:top w:w="120" w:type="dxa"/>
              <w:left w:w="160" w:type="dxa"/>
              <w:bottom w:w="120" w:type="dxa"/>
              <w:right w:w="160" w:type="dxa"/>
            </w:tcMar>
            <w:vAlign w:val="center"/>
          </w:tcPr>
          <w:p w14:paraId="60A28F04" w14:textId="77777777" w:rsidR="000C4637" w:rsidRDefault="00000000">
            <w:pPr>
              <w:jc w:val="center"/>
            </w:pPr>
            <w:r>
              <w:rPr>
                <w:b/>
                <w:bCs/>
                <w:color w:val="C00000"/>
                <w:sz w:val="32"/>
                <w:szCs w:val="32"/>
              </w:rPr>
              <w:t>170</w:t>
            </w:r>
          </w:p>
          <w:p w14:paraId="57556BFC" w14:textId="77777777" w:rsidR="000C4637" w:rsidRDefault="00000000">
            <w:pPr>
              <w:spacing w:before="40"/>
              <w:jc w:val="center"/>
            </w:pPr>
            <w:r>
              <w:rPr>
                <w:color w:val="444444"/>
                <w:sz w:val="18"/>
                <w:szCs w:val="18"/>
              </w:rPr>
              <w:t>Total Incidents</w:t>
            </w:r>
          </w:p>
        </w:tc>
        <w:tc>
          <w:tcPr>
            <w:tcW w:w="1872" w:type="dxa"/>
            <w:tcBorders>
              <w:top w:val="none" w:sz="0" w:space="0" w:color="FFFFFF"/>
              <w:left w:val="none" w:sz="0" w:space="0" w:color="FFFFFF"/>
              <w:bottom w:val="none" w:sz="0" w:space="0" w:color="FFFFFF"/>
              <w:right w:val="none" w:sz="0" w:space="0" w:color="FFFFFF"/>
            </w:tcBorders>
            <w:shd w:val="clear" w:color="auto" w:fill="FCE4EC"/>
            <w:tcMar>
              <w:top w:w="120" w:type="dxa"/>
              <w:left w:w="160" w:type="dxa"/>
              <w:bottom w:w="120" w:type="dxa"/>
              <w:right w:w="160" w:type="dxa"/>
            </w:tcMar>
            <w:vAlign w:val="center"/>
          </w:tcPr>
          <w:p w14:paraId="031C9318" w14:textId="77777777" w:rsidR="000C4637" w:rsidRDefault="00000000">
            <w:pPr>
              <w:jc w:val="center"/>
            </w:pPr>
            <w:r>
              <w:rPr>
                <w:b/>
                <w:bCs/>
                <w:color w:val="C00000"/>
                <w:sz w:val="32"/>
                <w:szCs w:val="32"/>
              </w:rPr>
              <w:t>44.61%</w:t>
            </w:r>
          </w:p>
          <w:p w14:paraId="7A43AC73" w14:textId="77777777" w:rsidR="000C4637" w:rsidRDefault="00000000">
            <w:pPr>
              <w:spacing w:before="40"/>
              <w:jc w:val="center"/>
            </w:pPr>
            <w:r>
              <w:rPr>
                <w:color w:val="444444"/>
                <w:sz w:val="18"/>
                <w:szCs w:val="18"/>
              </w:rPr>
              <w:t>On-Time Rate</w:t>
            </w:r>
          </w:p>
        </w:tc>
        <w:tc>
          <w:tcPr>
            <w:tcW w:w="1872" w:type="dxa"/>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vAlign w:val="center"/>
          </w:tcPr>
          <w:p w14:paraId="113BA27B" w14:textId="77777777" w:rsidR="000C4637" w:rsidRDefault="00000000">
            <w:pPr>
              <w:jc w:val="center"/>
            </w:pPr>
            <w:r>
              <w:rPr>
                <w:b/>
                <w:bCs/>
                <w:color w:val="375623"/>
                <w:sz w:val="32"/>
                <w:szCs w:val="32"/>
              </w:rPr>
              <w:t>6.45</w:t>
            </w:r>
          </w:p>
          <w:p w14:paraId="37D5060D" w14:textId="77777777" w:rsidR="000C4637" w:rsidRDefault="00000000">
            <w:pPr>
              <w:spacing w:before="40"/>
              <w:jc w:val="center"/>
            </w:pPr>
            <w:r>
              <w:rPr>
                <w:color w:val="444444"/>
                <w:sz w:val="18"/>
                <w:szCs w:val="18"/>
              </w:rPr>
              <w:t>Fleet MPG</w:t>
            </w:r>
          </w:p>
        </w:tc>
      </w:tr>
    </w:tbl>
    <w:p w14:paraId="361E67A2" w14:textId="77777777" w:rsidR="000C4637" w:rsidRDefault="000C4637">
      <w:pPr>
        <w:spacing w:before="80" w:after="40"/>
      </w:pPr>
    </w:p>
    <w:p w14:paraId="477A8B2B" w14:textId="77777777" w:rsidR="000C4637" w:rsidRDefault="00000000">
      <w:pPr>
        <w:spacing w:before="160" w:after="60"/>
      </w:pPr>
      <w:r>
        <w:rPr>
          <w:b/>
          <w:bCs/>
          <w:color w:val="1F4E79"/>
          <w:sz w:val="24"/>
          <w:szCs w:val="24"/>
        </w:rPr>
        <w:t>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0EF2091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4339CEE2"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1BC27AE9" w14:textId="77777777" w:rsidR="000C4637" w:rsidRDefault="00000000">
            <w:pPr>
              <w:spacing w:after="40"/>
            </w:pPr>
            <w:r>
              <w:rPr>
                <w:b/>
                <w:bCs/>
                <w:color w:val="1A1A1A"/>
              </w:rPr>
              <w:t xml:space="preserve">Excessive Idle Time: </w:t>
            </w:r>
            <w:r>
              <w:rPr>
                <w:color w:val="1A1A1A"/>
              </w:rPr>
              <w:t>The fleet-wide average idle percentage of 38.98% is alarmingly high. Nearly 4 out of every 10 minutes, fleet engines are running without moving — burning fuel and generating zero revenue. This directly links to the $1.78M estimated idle fuel cost identified in the Fuel Cost Analysis dashboard and represents a significant avoidable expense.</w:t>
            </w:r>
          </w:p>
        </w:tc>
      </w:tr>
    </w:tbl>
    <w:p w14:paraId="7652DBDD"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4613B6A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tcPr>
          <w:p w14:paraId="63C9B5CD"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E2EFDA"/>
            <w:tcMar>
              <w:top w:w="80" w:type="dxa"/>
              <w:left w:w="120" w:type="dxa"/>
              <w:bottom w:w="80" w:type="dxa"/>
              <w:right w:w="80" w:type="dxa"/>
            </w:tcMar>
          </w:tcPr>
          <w:p w14:paraId="4C5077E0" w14:textId="77777777" w:rsidR="000C4637" w:rsidRDefault="00000000">
            <w:pPr>
              <w:spacing w:after="40"/>
            </w:pPr>
            <w:r>
              <w:rPr>
                <w:b/>
                <w:bCs/>
                <w:color w:val="1A1A1A"/>
              </w:rPr>
              <w:t xml:space="preserve">Tight MPG Clustering Among Top Drivers: </w:t>
            </w:r>
            <w:r>
              <w:rPr>
                <w:color w:val="1A1A1A"/>
              </w:rPr>
              <w:t>The top 15 drivers by MPG range narrowly from 6.446 (Wilson) to 6.467 (Smith) — a spread of just 0.021 MPG. This uniformity indicates that high-performing drivers share very similar driving habits. Establishing and codifying these habits as training benchmarks could systematically uplift lower-tier driver efficiency.</w:t>
            </w:r>
          </w:p>
        </w:tc>
      </w:tr>
    </w:tbl>
    <w:p w14:paraId="7D51E154"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7437606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493E3F1D"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74080F14" w14:textId="77777777" w:rsidR="000C4637" w:rsidRDefault="00000000">
            <w:pPr>
              <w:spacing w:after="40"/>
            </w:pPr>
            <w:r>
              <w:rPr>
                <w:b/>
                <w:bCs/>
                <w:color w:val="1A1A1A"/>
              </w:rPr>
              <w:t xml:space="preserve">Terminal-Level OTD Variation: </w:t>
            </w:r>
            <w:r>
              <w:rPr>
                <w:color w:val="1A1A1A"/>
              </w:rPr>
              <w:t>Milwaukee and Philadelphia terminals outperform the fleet average on on-time delivery, while Portland and Atlanta underperform at approximately 44.9% and 46.0% respectively. Terminal-level differences suggest local management practices, route complexity, or external factors such as traffic and facility access patterns are contributing to performance gaps.</w:t>
            </w:r>
          </w:p>
        </w:tc>
      </w:tr>
    </w:tbl>
    <w:p w14:paraId="0B7A7696"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531B552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74241542"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27506ABB" w14:textId="77777777" w:rsidR="000C4637" w:rsidRDefault="00000000">
            <w:pPr>
              <w:spacing w:after="40"/>
            </w:pPr>
            <w:r>
              <w:rPr>
                <w:b/>
                <w:bCs/>
                <w:color w:val="1A1A1A"/>
              </w:rPr>
              <w:t xml:space="preserve">Incident Concentration at Atlanta: </w:t>
            </w:r>
            <w:r>
              <w:rPr>
                <w:color w:val="1A1A1A"/>
              </w:rPr>
              <w:t>Multiple Atlanta-based drivers — Linda Davis, Richard Davis, and William Garcia — appear in the safety incidents table. Charlotte and Chicago also feature multiple drivers with recorded incidents. A focused safety intervention programme at these three terminals is strongly advisable to reduce the fleet's 170 total incidents.</w:t>
            </w:r>
          </w:p>
        </w:tc>
      </w:tr>
    </w:tbl>
    <w:p w14:paraId="5A9FD054"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5038755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tcPr>
          <w:p w14:paraId="400801B4"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E2EFDA"/>
            <w:tcMar>
              <w:top w:w="80" w:type="dxa"/>
              <w:left w:w="120" w:type="dxa"/>
              <w:bottom w:w="80" w:type="dxa"/>
              <w:right w:w="80" w:type="dxa"/>
            </w:tcMar>
          </w:tcPr>
          <w:p w14:paraId="0E363268" w14:textId="77777777" w:rsidR="000C4637" w:rsidRDefault="00000000">
            <w:pPr>
              <w:spacing w:after="40"/>
            </w:pPr>
            <w:r>
              <w:rPr>
                <w:b/>
                <w:bCs/>
                <w:color w:val="1A1A1A"/>
              </w:rPr>
              <w:t xml:space="preserve">Thomas Surname Benchmark Performance: </w:t>
            </w:r>
            <w:r>
              <w:rPr>
                <w:color w:val="1A1A1A"/>
              </w:rPr>
              <w:t>Drivers with the surname Thomas consistently rank above the fleet average in both on-time delivery rate (45.89%) and fuel efficiency MPG. This cohort may represent a performance benchmark model worth examining for training programme design and driver incentive structures.</w:t>
            </w:r>
          </w:p>
        </w:tc>
      </w:tr>
    </w:tbl>
    <w:p w14:paraId="20FAF908" w14:textId="77777777" w:rsidR="000C4637" w:rsidRDefault="000C4637">
      <w:pPr>
        <w:pBdr>
          <w:bottom w:val="single" w:sz="4" w:space="4" w:color="D9D9D9"/>
        </w:pBdr>
        <w:spacing w:before="120" w:after="120"/>
      </w:pPr>
    </w:p>
    <w:p w14:paraId="57305AA2" w14:textId="77777777" w:rsidR="000C4637" w:rsidRDefault="00000000">
      <w:pPr>
        <w:pStyle w:val="Heading1"/>
        <w:pBdr>
          <w:bottom w:val="single" w:sz="8" w:space="4" w:color="2E75B6"/>
        </w:pBdr>
      </w:pPr>
      <w:r>
        <w:t>4. Fuel Cost Analysis</w:t>
      </w:r>
    </w:p>
    <w:p w14:paraId="7511D190" w14:textId="77777777" w:rsidR="000C4637" w:rsidRDefault="00000000">
      <w:pPr>
        <w:spacing w:before="60" w:after="60"/>
      </w:pPr>
      <w:r>
        <w:rPr>
          <w:color w:val="1A1A1A"/>
        </w:rPr>
        <w:t>This dashboard dissects the fleet's fuel expenditure across drivers, states, truck makes, and time periods. Given that fuel is the single largest cost line item at $95.59M over three years, this analysis is critical to understanding profitability and identifying cost-reduction opportunities.</w:t>
      </w:r>
    </w:p>
    <w:p w14:paraId="47A183EA" w14:textId="77777777" w:rsidR="000C4637" w:rsidRDefault="000C4637">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C4637" w14:paraId="27049A97"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CE4EC"/>
            <w:tcMar>
              <w:top w:w="120" w:type="dxa"/>
              <w:left w:w="160" w:type="dxa"/>
              <w:bottom w:w="120" w:type="dxa"/>
              <w:right w:w="160" w:type="dxa"/>
            </w:tcMar>
            <w:vAlign w:val="center"/>
          </w:tcPr>
          <w:p w14:paraId="1A4E7290" w14:textId="77777777" w:rsidR="000C4637" w:rsidRDefault="00000000">
            <w:pPr>
              <w:jc w:val="center"/>
            </w:pPr>
            <w:r>
              <w:rPr>
                <w:b/>
                <w:bCs/>
                <w:color w:val="C00000"/>
                <w:sz w:val="32"/>
                <w:szCs w:val="32"/>
              </w:rPr>
              <w:t>$95.59M</w:t>
            </w:r>
          </w:p>
          <w:p w14:paraId="4E8DCDE3" w14:textId="77777777" w:rsidR="000C4637" w:rsidRDefault="00000000">
            <w:pPr>
              <w:spacing w:before="40"/>
              <w:jc w:val="center"/>
            </w:pPr>
            <w:r>
              <w:rPr>
                <w:color w:val="444444"/>
                <w:sz w:val="18"/>
                <w:szCs w:val="18"/>
              </w:rPr>
              <w:t>Total Fuel Cost</w:t>
            </w:r>
          </w:p>
        </w:tc>
        <w:tc>
          <w:tcPr>
            <w:tcW w:w="1872" w:type="dxa"/>
            <w:tcBorders>
              <w:top w:val="none" w:sz="0" w:space="0" w:color="FFFFFF"/>
              <w:left w:val="none" w:sz="0" w:space="0" w:color="FFFFFF"/>
              <w:bottom w:val="none" w:sz="0" w:space="0" w:color="FFFFFF"/>
              <w:right w:val="none" w:sz="0" w:space="0" w:color="FFFFFF"/>
            </w:tcBorders>
            <w:shd w:val="clear" w:color="auto" w:fill="FCE4EC"/>
            <w:tcMar>
              <w:top w:w="120" w:type="dxa"/>
              <w:left w:w="160" w:type="dxa"/>
              <w:bottom w:w="120" w:type="dxa"/>
              <w:right w:w="160" w:type="dxa"/>
            </w:tcMar>
            <w:vAlign w:val="center"/>
          </w:tcPr>
          <w:p w14:paraId="3120538F" w14:textId="77777777" w:rsidR="000C4637" w:rsidRDefault="00000000">
            <w:pPr>
              <w:jc w:val="center"/>
            </w:pPr>
            <w:r>
              <w:rPr>
                <w:b/>
                <w:bCs/>
                <w:color w:val="C00000"/>
                <w:sz w:val="32"/>
                <w:szCs w:val="32"/>
              </w:rPr>
              <w:t>32.0%</w:t>
            </w:r>
          </w:p>
          <w:p w14:paraId="40326379" w14:textId="77777777" w:rsidR="000C4637" w:rsidRDefault="00000000">
            <w:pPr>
              <w:spacing w:before="40"/>
              <w:jc w:val="center"/>
            </w:pPr>
            <w:r>
              <w:rPr>
                <w:color w:val="444444"/>
                <w:sz w:val="18"/>
                <w:szCs w:val="18"/>
              </w:rPr>
              <w:t>Fuel % of Revenue</w:t>
            </w:r>
          </w:p>
        </w:tc>
        <w:tc>
          <w:tcPr>
            <w:tcW w:w="1872"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681F0095" w14:textId="77777777" w:rsidR="000C4637" w:rsidRDefault="00000000">
            <w:pPr>
              <w:jc w:val="center"/>
            </w:pPr>
            <w:r>
              <w:rPr>
                <w:b/>
                <w:bCs/>
                <w:color w:val="1F4E79"/>
                <w:sz w:val="32"/>
                <w:szCs w:val="32"/>
              </w:rPr>
              <w:t>24.52M gal</w:t>
            </w:r>
          </w:p>
          <w:p w14:paraId="086635FD" w14:textId="77777777" w:rsidR="000C4637" w:rsidRDefault="00000000">
            <w:pPr>
              <w:spacing w:before="40"/>
              <w:jc w:val="center"/>
            </w:pPr>
            <w:r>
              <w:rPr>
                <w:color w:val="444444"/>
                <w:sz w:val="18"/>
                <w:szCs w:val="18"/>
              </w:rPr>
              <w:t>Total Gallons Used</w:t>
            </w:r>
          </w:p>
        </w:tc>
        <w:tc>
          <w:tcPr>
            <w:tcW w:w="1872"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60" w:type="dxa"/>
            </w:tcMar>
            <w:vAlign w:val="center"/>
          </w:tcPr>
          <w:p w14:paraId="5431E6ED" w14:textId="77777777" w:rsidR="000C4637" w:rsidRDefault="00000000">
            <w:pPr>
              <w:jc w:val="center"/>
            </w:pPr>
            <w:r>
              <w:rPr>
                <w:b/>
                <w:bCs/>
                <w:color w:val="7F4F24"/>
                <w:sz w:val="32"/>
                <w:szCs w:val="32"/>
              </w:rPr>
              <w:t>$3.899</w:t>
            </w:r>
          </w:p>
          <w:p w14:paraId="1974FEE5" w14:textId="77777777" w:rsidR="000C4637" w:rsidRDefault="00000000">
            <w:pPr>
              <w:spacing w:before="40"/>
              <w:jc w:val="center"/>
            </w:pPr>
            <w:r>
              <w:rPr>
                <w:color w:val="444444"/>
                <w:sz w:val="18"/>
                <w:szCs w:val="18"/>
              </w:rPr>
              <w:t>Avg Price/Gallon</w:t>
            </w:r>
          </w:p>
        </w:tc>
        <w:tc>
          <w:tcPr>
            <w:tcW w:w="1872" w:type="dxa"/>
            <w:tcBorders>
              <w:top w:val="none" w:sz="0" w:space="0" w:color="FFFFFF"/>
              <w:left w:val="none" w:sz="0" w:space="0" w:color="FFFFFF"/>
              <w:bottom w:val="none" w:sz="0" w:space="0" w:color="FFFFFF"/>
              <w:right w:val="none" w:sz="0" w:space="0" w:color="FFFFFF"/>
            </w:tcBorders>
            <w:shd w:val="clear" w:color="auto" w:fill="FCE4EC"/>
            <w:tcMar>
              <w:top w:w="120" w:type="dxa"/>
              <w:left w:w="160" w:type="dxa"/>
              <w:bottom w:w="120" w:type="dxa"/>
              <w:right w:w="160" w:type="dxa"/>
            </w:tcMar>
            <w:vAlign w:val="center"/>
          </w:tcPr>
          <w:p w14:paraId="38636724" w14:textId="77777777" w:rsidR="000C4637" w:rsidRDefault="00000000">
            <w:pPr>
              <w:jc w:val="center"/>
            </w:pPr>
            <w:r>
              <w:rPr>
                <w:b/>
                <w:bCs/>
                <w:color w:val="C00000"/>
                <w:sz w:val="32"/>
                <w:szCs w:val="32"/>
              </w:rPr>
              <w:t>$1.78M</w:t>
            </w:r>
          </w:p>
          <w:p w14:paraId="5878A2A6" w14:textId="77777777" w:rsidR="000C4637" w:rsidRDefault="00000000">
            <w:pPr>
              <w:spacing w:before="40"/>
              <w:jc w:val="center"/>
            </w:pPr>
            <w:r>
              <w:rPr>
                <w:color w:val="444444"/>
                <w:sz w:val="18"/>
                <w:szCs w:val="18"/>
              </w:rPr>
              <w:t>Est. Idle Fuel Cost</w:t>
            </w:r>
          </w:p>
        </w:tc>
      </w:tr>
    </w:tbl>
    <w:p w14:paraId="76AB55FD" w14:textId="77777777" w:rsidR="000C4637" w:rsidRDefault="000C4637">
      <w:pPr>
        <w:spacing w:before="80" w:after="40"/>
      </w:pPr>
    </w:p>
    <w:p w14:paraId="260EC186" w14:textId="77777777" w:rsidR="000C4637" w:rsidRDefault="00000000">
      <w:pPr>
        <w:spacing w:before="160" w:after="60"/>
      </w:pPr>
      <w:r>
        <w:rPr>
          <w:b/>
          <w:bCs/>
          <w:color w:val="1F4E79"/>
          <w:sz w:val="24"/>
          <w:szCs w:val="24"/>
        </w:rPr>
        <w:t>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302B2B1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1F22F9D7"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1BD75D83" w14:textId="77777777" w:rsidR="000C4637" w:rsidRDefault="00000000">
            <w:pPr>
              <w:spacing w:after="40"/>
            </w:pPr>
            <w:r>
              <w:rPr>
                <w:b/>
                <w:bCs/>
                <w:color w:val="1A1A1A"/>
              </w:rPr>
              <w:t xml:space="preserve">Fuel Consuming 32% of Revenue: </w:t>
            </w:r>
            <w:r>
              <w:rPr>
                <w:color w:val="1A1A1A"/>
              </w:rPr>
              <w:t>At $95.59M, fuel costs are absorbing 32 cents of every revenue dollar. Industry benchmarks for fleet operations typically target 25–28%. The 4–7 percentage point excess directly compresses operating margins and explains why profitability may be under pressure despite healthy revenue volumes.</w:t>
            </w:r>
          </w:p>
        </w:tc>
      </w:tr>
    </w:tbl>
    <w:p w14:paraId="03216D59"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30932AC9"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346CAE33"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48639D37" w14:textId="77777777" w:rsidR="000C4637" w:rsidRDefault="00000000">
            <w:pPr>
              <w:spacing w:after="40"/>
            </w:pPr>
            <w:r>
              <w:rPr>
                <w:b/>
                <w:bCs/>
                <w:color w:val="1A1A1A"/>
              </w:rPr>
              <w:t xml:space="preserve">Diesel Price Drop Offset by Volume: </w:t>
            </w:r>
            <w:r>
              <w:rPr>
                <w:color w:val="1A1A1A"/>
              </w:rPr>
              <w:t>Diesel prices dropped approximately 8% in January, which the dashboard flags as a notable event. Despite this, fuel cost as a percentage of revenue remained nearly identical across 2022 (95.7%), 2023 (96.6%), and 2024 (95.8%), suggesting that the price reduction was absorbed by increased consumption volume or that fuel cost reductions are not being passed through to the bottom line.</w:t>
            </w:r>
          </w:p>
        </w:tc>
      </w:tr>
    </w:tbl>
    <w:p w14:paraId="18DD38C3"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1F767C4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79D75F36"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566C9AAB" w14:textId="77777777" w:rsidR="000C4637" w:rsidRDefault="00000000">
            <w:pPr>
              <w:spacing w:after="40"/>
            </w:pPr>
            <w:r>
              <w:rPr>
                <w:b/>
                <w:bCs/>
                <w:color w:val="1A1A1A"/>
              </w:rPr>
              <w:t xml:space="preserve">High Individual Fuel Spend: </w:t>
            </w:r>
            <w:r>
              <w:rPr>
                <w:color w:val="1A1A1A"/>
              </w:rPr>
              <w:t>Driver Anderson records the highest individual fuel spend at $9.327M — significantly above the second-highest driver, Gonzalez ($7.766M). The top 3 drivers (Anderson, Gonzalez, Wilson at $7.089M) represent a disproportionate share of total fleet fuel spend. This warrants investigation into route assignments, vehicle allocations, and driving behaviour for these individuals.</w:t>
            </w:r>
          </w:p>
        </w:tc>
      </w:tr>
    </w:tbl>
    <w:p w14:paraId="1F8B31D9"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2429D2F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3A041B30"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4A93D39C" w14:textId="77777777" w:rsidR="000C4637" w:rsidRDefault="00000000">
            <w:pPr>
              <w:spacing w:after="40"/>
            </w:pPr>
            <w:r>
              <w:rPr>
                <w:b/>
                <w:bCs/>
                <w:color w:val="1A1A1A"/>
              </w:rPr>
              <w:t xml:space="preserve">Geographic Fuel Price Variation: </w:t>
            </w:r>
            <w:r>
              <w:rPr>
                <w:color w:val="1A1A1A"/>
              </w:rPr>
              <w:t>Pennsylvania is the most expensive state for fuel at $3.905 per gallon, followed by Washington ($3.904) and Ohio ($3.904). Nevada, New York, and Tennessee offer the cheapest fuel at $3.898 per gallon. While the differences are small in isolation, at 24.52M gallons consumed annually, even a $0.005 per gallon shift through strategic fuelling stop planning could generate meaningful savings.</w:t>
            </w:r>
          </w:p>
        </w:tc>
      </w:tr>
    </w:tbl>
    <w:p w14:paraId="738F8959"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3440C9EF"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649514F0"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465133E6" w14:textId="77777777" w:rsidR="000C4637" w:rsidRDefault="00000000">
            <w:pPr>
              <w:spacing w:after="40"/>
            </w:pPr>
            <w:r>
              <w:rPr>
                <w:b/>
                <w:bCs/>
                <w:color w:val="1A1A1A"/>
              </w:rPr>
              <w:t xml:space="preserve">Idle Fuel as Pure Waste: </w:t>
            </w:r>
            <w:r>
              <w:rPr>
                <w:color w:val="1A1A1A"/>
              </w:rPr>
              <w:t>The $1.78M estimated idle fuel cost represents fuel burned without any productive movement. This is recoverable cost. Combining driver coaching programmes with idle policy enforcement — such as engine-off requirements during loading, waiting, and rest periods — could recover a significant portion of this expenditure.</w:t>
            </w:r>
          </w:p>
        </w:tc>
      </w:tr>
    </w:tbl>
    <w:p w14:paraId="348FA553" w14:textId="77777777" w:rsidR="000C4637" w:rsidRDefault="000C4637">
      <w:pPr>
        <w:pBdr>
          <w:bottom w:val="single" w:sz="4" w:space="4" w:color="D9D9D9"/>
        </w:pBdr>
        <w:spacing w:before="120" w:after="120"/>
      </w:pPr>
    </w:p>
    <w:p w14:paraId="05C63048" w14:textId="77777777" w:rsidR="000C4637" w:rsidRDefault="00000000">
      <w:pPr>
        <w:pStyle w:val="Heading1"/>
        <w:pBdr>
          <w:bottom w:val="single" w:sz="8" w:space="4" w:color="2E75B6"/>
        </w:pBdr>
      </w:pPr>
      <w:r>
        <w:lastRenderedPageBreak/>
        <w:t>5. On-Time Performance &amp; Operations</w:t>
      </w:r>
    </w:p>
    <w:p w14:paraId="1F36E671" w14:textId="77777777" w:rsidR="000C4637" w:rsidRDefault="00000000">
      <w:pPr>
        <w:spacing w:before="60" w:after="60"/>
      </w:pPr>
      <w:r>
        <w:rPr>
          <w:color w:val="1A1A1A"/>
        </w:rPr>
        <w:t>This dashboard is the most operationally critical in the suite. It tracks delivery and pickup on-time rates, detention times, worst-served customers, and performance trends against target. The findings here directly impact customer retention and contract renewal outcomes.</w:t>
      </w:r>
    </w:p>
    <w:p w14:paraId="18333DF1" w14:textId="77777777" w:rsidR="000C4637" w:rsidRDefault="000C4637">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C4637" w14:paraId="6B3A6B5B"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CE4EC"/>
            <w:tcMar>
              <w:top w:w="120" w:type="dxa"/>
              <w:left w:w="160" w:type="dxa"/>
              <w:bottom w:w="120" w:type="dxa"/>
              <w:right w:w="160" w:type="dxa"/>
            </w:tcMar>
            <w:vAlign w:val="center"/>
          </w:tcPr>
          <w:p w14:paraId="00DC0592" w14:textId="77777777" w:rsidR="000C4637" w:rsidRDefault="00000000">
            <w:pPr>
              <w:jc w:val="center"/>
            </w:pPr>
            <w:r>
              <w:rPr>
                <w:b/>
                <w:bCs/>
                <w:color w:val="C00000"/>
                <w:sz w:val="32"/>
                <w:szCs w:val="32"/>
              </w:rPr>
              <w:t>44.6%</w:t>
            </w:r>
          </w:p>
          <w:p w14:paraId="13CE5C4D" w14:textId="77777777" w:rsidR="000C4637" w:rsidRDefault="00000000">
            <w:pPr>
              <w:spacing w:before="40"/>
              <w:jc w:val="center"/>
            </w:pPr>
            <w:r>
              <w:rPr>
                <w:color w:val="444444"/>
                <w:sz w:val="18"/>
                <w:szCs w:val="18"/>
              </w:rPr>
              <w:t>On-Time Delivery</w:t>
            </w:r>
          </w:p>
        </w:tc>
        <w:tc>
          <w:tcPr>
            <w:tcW w:w="1872"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60" w:type="dxa"/>
            </w:tcMar>
            <w:vAlign w:val="center"/>
          </w:tcPr>
          <w:p w14:paraId="6EB7BA88" w14:textId="77777777" w:rsidR="000C4637" w:rsidRDefault="00000000">
            <w:pPr>
              <w:jc w:val="center"/>
            </w:pPr>
            <w:r>
              <w:rPr>
                <w:b/>
                <w:bCs/>
                <w:color w:val="7F4F24"/>
                <w:sz w:val="32"/>
                <w:szCs w:val="32"/>
              </w:rPr>
              <w:t>66.7%</w:t>
            </w:r>
          </w:p>
          <w:p w14:paraId="197BE078" w14:textId="77777777" w:rsidR="000C4637" w:rsidRDefault="00000000">
            <w:pPr>
              <w:spacing w:before="40"/>
              <w:jc w:val="center"/>
            </w:pPr>
            <w:r>
              <w:rPr>
                <w:color w:val="444444"/>
                <w:sz w:val="18"/>
                <w:szCs w:val="18"/>
              </w:rPr>
              <w:t>On-Time Pickup</w:t>
            </w:r>
          </w:p>
        </w:tc>
        <w:tc>
          <w:tcPr>
            <w:tcW w:w="1872" w:type="dxa"/>
            <w:tcBorders>
              <w:top w:val="none" w:sz="0" w:space="0" w:color="FFFFFF"/>
              <w:left w:val="none" w:sz="0" w:space="0" w:color="FFFFFF"/>
              <w:bottom w:val="none" w:sz="0" w:space="0" w:color="FFFFFF"/>
              <w:right w:val="none" w:sz="0" w:space="0" w:color="FFFFFF"/>
            </w:tcBorders>
            <w:shd w:val="clear" w:color="auto" w:fill="FCE4EC"/>
            <w:tcMar>
              <w:top w:w="120" w:type="dxa"/>
              <w:left w:w="160" w:type="dxa"/>
              <w:bottom w:w="120" w:type="dxa"/>
              <w:right w:w="160" w:type="dxa"/>
            </w:tcMar>
            <w:vAlign w:val="center"/>
          </w:tcPr>
          <w:p w14:paraId="405F0A6D" w14:textId="77777777" w:rsidR="000C4637" w:rsidRDefault="00000000">
            <w:pPr>
              <w:jc w:val="center"/>
            </w:pPr>
            <w:r>
              <w:rPr>
                <w:b/>
                <w:bCs/>
                <w:color w:val="C00000"/>
                <w:sz w:val="32"/>
                <w:szCs w:val="32"/>
              </w:rPr>
              <w:t>47K</w:t>
            </w:r>
          </w:p>
          <w:p w14:paraId="191FBF3B" w14:textId="77777777" w:rsidR="000C4637" w:rsidRDefault="00000000">
            <w:pPr>
              <w:spacing w:before="40"/>
              <w:jc w:val="center"/>
            </w:pPr>
            <w:r>
              <w:rPr>
                <w:color w:val="444444"/>
                <w:sz w:val="18"/>
                <w:szCs w:val="18"/>
              </w:rPr>
              <w:t>Late Deliveries</w:t>
            </w:r>
          </w:p>
        </w:tc>
        <w:tc>
          <w:tcPr>
            <w:tcW w:w="1872"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60" w:type="dxa"/>
            </w:tcMar>
            <w:vAlign w:val="center"/>
          </w:tcPr>
          <w:p w14:paraId="71F806C8" w14:textId="77777777" w:rsidR="000C4637" w:rsidRDefault="00000000">
            <w:pPr>
              <w:jc w:val="center"/>
            </w:pPr>
            <w:r>
              <w:rPr>
                <w:b/>
                <w:bCs/>
                <w:color w:val="7F4F24"/>
                <w:sz w:val="32"/>
                <w:szCs w:val="32"/>
              </w:rPr>
              <w:t>91.5 min</w:t>
            </w:r>
          </w:p>
          <w:p w14:paraId="53292A61" w14:textId="77777777" w:rsidR="000C4637" w:rsidRDefault="00000000">
            <w:pPr>
              <w:spacing w:before="40"/>
              <w:jc w:val="center"/>
            </w:pPr>
            <w:r>
              <w:rPr>
                <w:color w:val="444444"/>
                <w:sz w:val="18"/>
                <w:szCs w:val="18"/>
              </w:rPr>
              <w:t>Avg Detention</w:t>
            </w:r>
          </w:p>
        </w:tc>
        <w:tc>
          <w:tcPr>
            <w:tcW w:w="1872" w:type="dxa"/>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vAlign w:val="center"/>
          </w:tcPr>
          <w:p w14:paraId="6D4BB1AA" w14:textId="77777777" w:rsidR="000C4637" w:rsidRDefault="00000000">
            <w:pPr>
              <w:jc w:val="center"/>
            </w:pPr>
            <w:r>
              <w:rPr>
                <w:b/>
                <w:bCs/>
                <w:color w:val="375623"/>
                <w:sz w:val="32"/>
                <w:szCs w:val="32"/>
              </w:rPr>
              <w:t>$3M</w:t>
            </w:r>
          </w:p>
          <w:p w14:paraId="0BEBAC37" w14:textId="77777777" w:rsidR="000C4637" w:rsidRDefault="00000000">
            <w:pPr>
              <w:spacing w:before="40"/>
              <w:jc w:val="center"/>
            </w:pPr>
            <w:r>
              <w:rPr>
                <w:color w:val="444444"/>
                <w:sz w:val="18"/>
                <w:szCs w:val="18"/>
              </w:rPr>
              <w:t>Detention Rev/Yr</w:t>
            </w:r>
          </w:p>
        </w:tc>
      </w:tr>
    </w:tbl>
    <w:p w14:paraId="3B3576CC" w14:textId="77777777" w:rsidR="000C4637" w:rsidRDefault="000C4637">
      <w:pPr>
        <w:spacing w:before="80" w:after="40"/>
      </w:pPr>
    </w:p>
    <w:p w14:paraId="0D1B49F4" w14:textId="77777777" w:rsidR="000C4637" w:rsidRDefault="00000000">
      <w:pPr>
        <w:spacing w:before="160" w:after="60"/>
      </w:pPr>
      <w:r>
        <w:rPr>
          <w:b/>
          <w:bCs/>
          <w:color w:val="1F4E79"/>
          <w:sz w:val="24"/>
          <w:szCs w:val="24"/>
        </w:rPr>
        <w:t>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40C4856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6AF0C0F2"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312703AB" w14:textId="77777777" w:rsidR="000C4637" w:rsidRDefault="00000000">
            <w:pPr>
              <w:spacing w:after="40"/>
            </w:pPr>
            <w:r>
              <w:rPr>
                <w:b/>
                <w:bCs/>
                <w:color w:val="1A1A1A"/>
              </w:rPr>
              <w:t xml:space="preserve">Pickup-to-Delivery Performance Gap: </w:t>
            </w:r>
            <w:r>
              <w:rPr>
                <w:color w:val="1A1A1A"/>
              </w:rPr>
              <w:t>The fleet successfully picks up on time 2 out of every 3 trips (66.7%) but delivers on time only 1 in 2 (44.6%). This 22-percentage-point gap between pickup success and delivery success is a critical diagnostic signal — it isolates the operational failure to the transit phase or destination facility handling, not the origin. This narrows the root cause investigation considerably.</w:t>
            </w:r>
          </w:p>
        </w:tc>
      </w:tr>
    </w:tbl>
    <w:p w14:paraId="4E3F52F4"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442012D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6E5E48DC"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321E012E" w14:textId="77777777" w:rsidR="000C4637" w:rsidRDefault="00000000">
            <w:pPr>
              <w:spacing w:after="40"/>
            </w:pPr>
            <w:r>
              <w:rPr>
                <w:b/>
                <w:bCs/>
                <w:color w:val="1A1A1A"/>
              </w:rPr>
              <w:t xml:space="preserve">Target Never Achieved: </w:t>
            </w:r>
            <w:r>
              <w:rPr>
                <w:color w:val="1A1A1A"/>
              </w:rPr>
              <w:t>The on-time delivery rate has never reached the 80% target across any month in the 2022–2024 period. Monthly OTD fluctuates between 40% and 50%, consistently and significantly below the benchmark dashed target line. There is no improving trajectory — performance is essentially flat, suggesting systemic issues rather than isolated events.</w:t>
            </w:r>
          </w:p>
        </w:tc>
      </w:tr>
    </w:tbl>
    <w:p w14:paraId="1D8050E6"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18DEF10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5EAC4C43"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12F695D6" w14:textId="77777777" w:rsidR="000C4637" w:rsidRDefault="00000000">
            <w:pPr>
              <w:spacing w:after="40"/>
            </w:pPr>
            <w:r>
              <w:rPr>
                <w:b/>
                <w:bCs/>
                <w:color w:val="1A1A1A"/>
              </w:rPr>
              <w:t xml:space="preserve">Seasonal Performance Dips: </w:t>
            </w:r>
            <w:r>
              <w:rPr>
                <w:color w:val="1A1A1A"/>
              </w:rPr>
              <w:t>On-time delivery is at its lowest in February and December (approximately 43.9–44.3%), which likely correlates with holiday-period volume surges, weather disruptions, or year-end capacity constraints. June and October show relative peaks around 45.0–45.4%. Seasonal capacity planning and route contingency planning during Q4 and Q1 could mitigate these predictable dips.</w:t>
            </w:r>
          </w:p>
        </w:tc>
      </w:tr>
    </w:tbl>
    <w:p w14:paraId="3BD0B165"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7A67EF8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50323719"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317897E5" w14:textId="77777777" w:rsidR="000C4637" w:rsidRDefault="00000000">
            <w:pPr>
              <w:spacing w:after="40"/>
            </w:pPr>
            <w:r>
              <w:rPr>
                <w:b/>
                <w:bCs/>
                <w:color w:val="1A1A1A"/>
              </w:rPr>
              <w:t xml:space="preserve">High-Detention Facilities Driving Delays: </w:t>
            </w:r>
            <w:r>
              <w:rPr>
                <w:color w:val="1A1A1A"/>
              </w:rPr>
              <w:t>Indianapolis Distribution records the highest average detention time at 93.6 minutes, followed by Phoenix Distribution (93.0 min) and Salt Lake City (92.9 min). These facilities are causing trucks to wait well above the fleet average before being loaded or unloaded, directly inflating transit times and degrading on-time delivery performance. Facility-level operational discussions with these partners are warranted.</w:t>
            </w:r>
          </w:p>
        </w:tc>
      </w:tr>
    </w:tbl>
    <w:p w14:paraId="005DD961"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06BEF2B4"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2B691A1C"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7A1B5CAB" w14:textId="77777777" w:rsidR="000C4637" w:rsidRDefault="00000000">
            <w:pPr>
              <w:spacing w:after="40"/>
            </w:pPr>
            <w:r>
              <w:rPr>
                <w:b/>
                <w:bCs/>
                <w:color w:val="1A1A1A"/>
              </w:rPr>
              <w:t xml:space="preserve">Worst-Served Customers at Risk: </w:t>
            </w:r>
            <w:r>
              <w:rPr>
                <w:color w:val="1A1A1A"/>
              </w:rPr>
              <w:t>Superior Re and Continental both record just 39.5% OTD — the lowest among all customers. XYZ Corp, Elite Distribution, and Global Distribution each fall below 42%. Poor service consistency at these accounts elevates churn risk, undermines renewal negotiations, and may already be generating penalty clauses or informal dissatisfaction that precedes formal contract loss.</w:t>
            </w:r>
          </w:p>
        </w:tc>
      </w:tr>
    </w:tbl>
    <w:p w14:paraId="66718A20"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248F5B7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tcPr>
          <w:p w14:paraId="2CCCEA4F"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E2EFDA"/>
            <w:tcMar>
              <w:top w:w="80" w:type="dxa"/>
              <w:left w:w="120" w:type="dxa"/>
              <w:bottom w:w="80" w:type="dxa"/>
              <w:right w:w="80" w:type="dxa"/>
            </w:tcMar>
          </w:tcPr>
          <w:p w14:paraId="4C4595C4" w14:textId="77777777" w:rsidR="000C4637" w:rsidRDefault="00000000">
            <w:pPr>
              <w:spacing w:after="40"/>
            </w:pPr>
            <w:r>
              <w:rPr>
                <w:b/>
                <w:bCs/>
                <w:color w:val="1A1A1A"/>
              </w:rPr>
              <w:t xml:space="preserve">Detention Revenue as a Partial Offset: </w:t>
            </w:r>
            <w:r>
              <w:rPr>
                <w:color w:val="1A1A1A"/>
              </w:rPr>
              <w:t xml:space="preserve">The fleet generates approximately $3M annually in detention revenue — a meaningful figure that partially offsets the costs associated with delays. However, this should not be managed as a revenue stream. </w:t>
            </w:r>
            <w:r>
              <w:rPr>
                <w:color w:val="1A1A1A"/>
              </w:rPr>
              <w:lastRenderedPageBreak/>
              <w:t>Reducing detention time will improve OTD rates, reduce driver fatigue, and improve customer satisfaction by a significantly greater margin than detention billing can compensate for.</w:t>
            </w:r>
          </w:p>
        </w:tc>
      </w:tr>
    </w:tbl>
    <w:p w14:paraId="2AB4C736" w14:textId="77777777" w:rsidR="000C4637" w:rsidRDefault="000C4637">
      <w:pPr>
        <w:pBdr>
          <w:bottom w:val="single" w:sz="4" w:space="4" w:color="D9D9D9"/>
        </w:pBdr>
        <w:spacing w:before="120" w:after="120"/>
      </w:pPr>
    </w:p>
    <w:p w14:paraId="744B3A6E" w14:textId="77777777" w:rsidR="000C4637" w:rsidRDefault="00000000">
      <w:pPr>
        <w:pStyle w:val="Heading1"/>
        <w:pBdr>
          <w:bottom w:val="single" w:sz="8" w:space="4" w:color="2E75B6"/>
        </w:pBdr>
      </w:pPr>
      <w:r>
        <w:t>6. Fleet Health &amp; Maintenance Analysis</w:t>
      </w:r>
    </w:p>
    <w:p w14:paraId="050D89AC" w14:textId="77777777" w:rsidR="000C4637" w:rsidRDefault="00000000">
      <w:pPr>
        <w:spacing w:before="60" w:after="60"/>
      </w:pPr>
      <w:r>
        <w:rPr>
          <w:color w:val="1A1A1A"/>
        </w:rPr>
        <w:t>This dashboard covers fleet composition, age distribution, maintenance cost trends, service type breakdowns, and individual truck-level performance. It provides the long-term infrastructure view of the fleet's operational sustainability.</w:t>
      </w:r>
    </w:p>
    <w:p w14:paraId="73673AC3" w14:textId="77777777" w:rsidR="000C4637" w:rsidRDefault="000C4637">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C4637" w14:paraId="20873E1E"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vAlign w:val="center"/>
          </w:tcPr>
          <w:p w14:paraId="5A463C48" w14:textId="77777777" w:rsidR="000C4637" w:rsidRDefault="00000000">
            <w:pPr>
              <w:jc w:val="center"/>
            </w:pPr>
            <w:r>
              <w:rPr>
                <w:b/>
                <w:bCs/>
                <w:color w:val="375623"/>
                <w:sz w:val="32"/>
                <w:szCs w:val="32"/>
              </w:rPr>
              <w:t>83.0%</w:t>
            </w:r>
          </w:p>
          <w:p w14:paraId="5383704B" w14:textId="77777777" w:rsidR="000C4637" w:rsidRDefault="00000000">
            <w:pPr>
              <w:spacing w:before="40"/>
              <w:jc w:val="center"/>
            </w:pPr>
            <w:r>
              <w:rPr>
                <w:color w:val="444444"/>
                <w:sz w:val="18"/>
                <w:szCs w:val="18"/>
              </w:rPr>
              <w:t>Fleet Utilisation</w:t>
            </w:r>
          </w:p>
        </w:tc>
        <w:tc>
          <w:tcPr>
            <w:tcW w:w="1872"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7477DACA" w14:textId="77777777" w:rsidR="000C4637" w:rsidRDefault="00000000">
            <w:pPr>
              <w:jc w:val="center"/>
            </w:pPr>
            <w:r>
              <w:rPr>
                <w:b/>
                <w:bCs/>
                <w:color w:val="1F4E79"/>
                <w:sz w:val="32"/>
                <w:szCs w:val="32"/>
              </w:rPr>
              <w:t>92</w:t>
            </w:r>
          </w:p>
          <w:p w14:paraId="351166A7" w14:textId="77777777" w:rsidR="000C4637" w:rsidRDefault="00000000">
            <w:pPr>
              <w:spacing w:before="40"/>
              <w:jc w:val="center"/>
            </w:pPr>
            <w:r>
              <w:rPr>
                <w:color w:val="444444"/>
                <w:sz w:val="18"/>
                <w:szCs w:val="18"/>
              </w:rPr>
              <w:t>Active Trucks</w:t>
            </w:r>
          </w:p>
        </w:tc>
        <w:tc>
          <w:tcPr>
            <w:tcW w:w="1872"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60" w:type="dxa"/>
            </w:tcMar>
            <w:vAlign w:val="center"/>
          </w:tcPr>
          <w:p w14:paraId="779BE477" w14:textId="77777777" w:rsidR="000C4637" w:rsidRDefault="00000000">
            <w:pPr>
              <w:jc w:val="center"/>
            </w:pPr>
            <w:r>
              <w:rPr>
                <w:b/>
                <w:bCs/>
                <w:color w:val="7F4F24"/>
                <w:sz w:val="32"/>
                <w:szCs w:val="32"/>
              </w:rPr>
              <w:t>15</w:t>
            </w:r>
          </w:p>
          <w:p w14:paraId="3298943B" w14:textId="77777777" w:rsidR="000C4637" w:rsidRDefault="00000000">
            <w:pPr>
              <w:spacing w:before="40"/>
              <w:jc w:val="center"/>
            </w:pPr>
            <w:r>
              <w:rPr>
                <w:color w:val="444444"/>
                <w:sz w:val="18"/>
                <w:szCs w:val="18"/>
              </w:rPr>
              <w:t>In Maintenance</w:t>
            </w:r>
          </w:p>
        </w:tc>
        <w:tc>
          <w:tcPr>
            <w:tcW w:w="1872"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227B5D99" w14:textId="77777777" w:rsidR="000C4637" w:rsidRDefault="00000000">
            <w:pPr>
              <w:jc w:val="center"/>
            </w:pPr>
            <w:r>
              <w:rPr>
                <w:b/>
                <w:bCs/>
                <w:color w:val="1F4E79"/>
                <w:sz w:val="32"/>
                <w:szCs w:val="32"/>
              </w:rPr>
              <w:t>$1,963</w:t>
            </w:r>
          </w:p>
          <w:p w14:paraId="71C278F7" w14:textId="77777777" w:rsidR="000C4637" w:rsidRDefault="00000000">
            <w:pPr>
              <w:spacing w:before="40"/>
              <w:jc w:val="center"/>
            </w:pPr>
            <w:r>
              <w:rPr>
                <w:color w:val="444444"/>
                <w:sz w:val="18"/>
                <w:szCs w:val="18"/>
              </w:rPr>
              <w:t>Avg Cost/Service</w:t>
            </w:r>
          </w:p>
        </w:tc>
        <w:tc>
          <w:tcPr>
            <w:tcW w:w="1872"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60" w:type="dxa"/>
            </w:tcMar>
            <w:vAlign w:val="center"/>
          </w:tcPr>
          <w:p w14:paraId="4CA79963" w14:textId="77777777" w:rsidR="000C4637" w:rsidRDefault="00000000">
            <w:pPr>
              <w:jc w:val="center"/>
            </w:pPr>
            <w:r>
              <w:rPr>
                <w:b/>
                <w:bCs/>
                <w:color w:val="7F4F24"/>
                <w:sz w:val="32"/>
                <w:szCs w:val="32"/>
              </w:rPr>
              <w:t>$5.7M</w:t>
            </w:r>
          </w:p>
          <w:p w14:paraId="54B435F8" w14:textId="77777777" w:rsidR="000C4637" w:rsidRDefault="00000000">
            <w:pPr>
              <w:spacing w:before="40"/>
              <w:jc w:val="center"/>
            </w:pPr>
            <w:r>
              <w:rPr>
                <w:color w:val="444444"/>
                <w:sz w:val="18"/>
                <w:szCs w:val="18"/>
              </w:rPr>
              <w:t xml:space="preserve">3-Year </w:t>
            </w:r>
            <w:proofErr w:type="spellStart"/>
            <w:r>
              <w:rPr>
                <w:color w:val="444444"/>
                <w:sz w:val="18"/>
                <w:szCs w:val="18"/>
              </w:rPr>
              <w:t>Maint</w:t>
            </w:r>
            <w:proofErr w:type="spellEnd"/>
            <w:r>
              <w:rPr>
                <w:color w:val="444444"/>
                <w:sz w:val="18"/>
                <w:szCs w:val="18"/>
              </w:rPr>
              <w:t>. Cost</w:t>
            </w:r>
          </w:p>
        </w:tc>
      </w:tr>
    </w:tbl>
    <w:p w14:paraId="7F66C243" w14:textId="77777777" w:rsidR="000C4637" w:rsidRDefault="000C4637">
      <w:pPr>
        <w:spacing w:before="80" w:after="40"/>
      </w:pPr>
    </w:p>
    <w:p w14:paraId="24377B7A" w14:textId="77777777" w:rsidR="000C4637" w:rsidRDefault="00000000">
      <w:pPr>
        <w:spacing w:before="160" w:after="60"/>
      </w:pPr>
      <w:r>
        <w:rPr>
          <w:b/>
          <w:bCs/>
          <w:color w:val="1F4E79"/>
          <w:sz w:val="24"/>
          <w:szCs w:val="24"/>
        </w:rPr>
        <w:t>Key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7ADB55B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7F88C9F6"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3DB8EFFB" w14:textId="76E521D6" w:rsidR="000C4637" w:rsidRDefault="00000000">
            <w:pPr>
              <w:spacing w:after="40"/>
            </w:pPr>
            <w:r>
              <w:rPr>
                <w:b/>
                <w:bCs/>
                <w:color w:val="1A1A1A"/>
              </w:rPr>
              <w:t xml:space="preserve">Critically Aged Fleet: </w:t>
            </w:r>
            <w:r>
              <w:rPr>
                <w:color w:val="1A1A1A"/>
              </w:rPr>
              <w:t>Of the 120-truck fleet, 100 vehicles (83%) are aged 6–9 years old. Only 1 truck is under 3 years old, and 19 are in the 3–</w:t>
            </w:r>
            <w:r w:rsidR="00DA0BA9">
              <w:rPr>
                <w:color w:val="1A1A1A"/>
              </w:rPr>
              <w:t>6-year</w:t>
            </w:r>
            <w:r>
              <w:rPr>
                <w:color w:val="1A1A1A"/>
              </w:rPr>
              <w:t xml:space="preserve"> range. An aging fleet of this profile carries compounding risk: higher maintenance frequency, reduced fuel efficiency relative to newer models, increasing probability of unplanned breakdowns, and declining resale value. Fleet renewal planning needs to begin immediately.</w:t>
            </w:r>
          </w:p>
        </w:tc>
      </w:tr>
    </w:tbl>
    <w:p w14:paraId="4B7405AD"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627438F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3D0AA0AE"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5BC2FD17" w14:textId="77777777" w:rsidR="000C4637" w:rsidRDefault="00000000">
            <w:pPr>
              <w:spacing w:after="40"/>
            </w:pPr>
            <w:r>
              <w:rPr>
                <w:b/>
                <w:bCs/>
                <w:color w:val="1A1A1A"/>
              </w:rPr>
              <w:t xml:space="preserve">2024 Maintenance Cost Spike: </w:t>
            </w:r>
            <w:r>
              <w:rPr>
                <w:color w:val="1A1A1A"/>
              </w:rPr>
              <w:t>Monthly maintenance costs approximately doubled in 2024 compared to 2022 and 2023 levels, with total service events also increasing significantly. This is the expected consequence of an aging fleet and provides strong financial justification for an accelerated replacement programme before costs escalate further into 2025.</w:t>
            </w:r>
          </w:p>
        </w:tc>
      </w:tr>
    </w:tbl>
    <w:p w14:paraId="1FB94A5F"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7D44EAF7"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2F2F2"/>
            <w:tcMar>
              <w:top w:w="80" w:type="dxa"/>
              <w:left w:w="80" w:type="dxa"/>
              <w:bottom w:w="80" w:type="dxa"/>
              <w:right w:w="80" w:type="dxa"/>
            </w:tcMar>
          </w:tcPr>
          <w:p w14:paraId="2266E9AB" w14:textId="77777777" w:rsidR="000C4637" w:rsidRDefault="00000000">
            <w:pPr>
              <w:jc w:val="center"/>
            </w:pPr>
            <w:proofErr w:type="spellStart"/>
            <w:r>
              <w:rPr>
                <w:sz w:val="24"/>
                <w:szCs w:val="24"/>
              </w:rPr>
              <w:t>i</w:t>
            </w:r>
            <w:proofErr w:type="spellEnd"/>
          </w:p>
        </w:tc>
        <w:tc>
          <w:tcPr>
            <w:tcW w:w="884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80" w:type="dxa"/>
            </w:tcMar>
          </w:tcPr>
          <w:p w14:paraId="611EFFB7" w14:textId="77777777" w:rsidR="000C4637" w:rsidRDefault="00000000">
            <w:pPr>
              <w:spacing w:after="40"/>
            </w:pPr>
            <w:r>
              <w:rPr>
                <w:b/>
                <w:bCs/>
                <w:color w:val="1A1A1A"/>
              </w:rPr>
              <w:t xml:space="preserve">Broad Service Type Distribution: </w:t>
            </w:r>
            <w:r>
              <w:rPr>
                <w:color w:val="1A1A1A"/>
              </w:rPr>
              <w:t>Maintenance costs are distributed relatively evenly across all service types: Preventive Maintenance leads, followed by Repair, Tire, Brake, Engine, Transmission, and Inspection. The even spread across all systems — rather than concentration in one area — indicates fleet-wide wear consistent with high-mileage, aged vehicles rather than a specific component failure pattern.</w:t>
            </w:r>
          </w:p>
        </w:tc>
      </w:tr>
    </w:tbl>
    <w:p w14:paraId="57F6FD9D"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34894AC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tcPr>
          <w:p w14:paraId="396C61DA"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E2EFDA"/>
            <w:tcMar>
              <w:top w:w="80" w:type="dxa"/>
              <w:left w:w="120" w:type="dxa"/>
              <w:bottom w:w="80" w:type="dxa"/>
              <w:right w:w="80" w:type="dxa"/>
            </w:tcMar>
          </w:tcPr>
          <w:p w14:paraId="0DF2BEAA" w14:textId="77777777" w:rsidR="000C4637" w:rsidRDefault="00000000">
            <w:pPr>
              <w:spacing w:after="40"/>
            </w:pPr>
            <w:r>
              <w:rPr>
                <w:b/>
                <w:bCs/>
                <w:color w:val="1A1A1A"/>
              </w:rPr>
              <w:t xml:space="preserve">Stable Labour-to-Parts Cost Ratio: </w:t>
            </w:r>
            <w:r>
              <w:rPr>
                <w:color w:val="1A1A1A"/>
              </w:rPr>
              <w:t>Labour costs have consistently represented 22.3% of total maintenance spend each year from 2022 through 2024, with parts accounting for the remaining 77.7%. This stability across three years indicates a mature and predictable service operation, which is useful for future maintenance budget forecasting and vendor contract negotiations.</w:t>
            </w:r>
          </w:p>
        </w:tc>
      </w:tr>
    </w:tbl>
    <w:p w14:paraId="1205EDDD"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7EBC708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FCE4EC"/>
            <w:tcMar>
              <w:top w:w="80" w:type="dxa"/>
              <w:left w:w="80" w:type="dxa"/>
              <w:bottom w:w="80" w:type="dxa"/>
              <w:right w:w="80" w:type="dxa"/>
            </w:tcMar>
          </w:tcPr>
          <w:p w14:paraId="0882F4A8"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FCE4EC"/>
            <w:tcMar>
              <w:top w:w="80" w:type="dxa"/>
              <w:left w:w="120" w:type="dxa"/>
              <w:bottom w:w="80" w:type="dxa"/>
              <w:right w:w="80" w:type="dxa"/>
            </w:tcMar>
          </w:tcPr>
          <w:p w14:paraId="22F07B71" w14:textId="4994571D" w:rsidR="000C4637" w:rsidRDefault="00000000">
            <w:pPr>
              <w:spacing w:after="40"/>
            </w:pPr>
            <w:r>
              <w:rPr>
                <w:b/>
                <w:bCs/>
                <w:color w:val="1A1A1A"/>
              </w:rPr>
              <w:t xml:space="preserve">International Brand Trucks Leading in Cost: </w:t>
            </w:r>
            <w:r>
              <w:rPr>
                <w:color w:val="1A1A1A"/>
              </w:rPr>
              <w:t xml:space="preserve">International-brand trucks from model year 2015 (approximately 9 years old) dominate the top 15 highest-maintenance vehicles list. Trucks TRK00014, TRK00026, TRK00038, TRK00040, and TRK00044 are all </w:t>
            </w:r>
            <w:r w:rsidR="00DA0BA9">
              <w:rPr>
                <w:color w:val="1A1A1A"/>
              </w:rPr>
              <w:t>International branded</w:t>
            </w:r>
            <w:r>
              <w:rPr>
                <w:color w:val="1A1A1A"/>
              </w:rPr>
              <w:t xml:space="preserve"> with the highest cumulative maintenance totals and are the </w:t>
            </w:r>
            <w:r>
              <w:rPr>
                <w:color w:val="1A1A1A"/>
              </w:rPr>
              <w:lastRenderedPageBreak/>
              <w:t>strongest candidates for early retirement or priority replacement in the fleet renewal programme.</w:t>
            </w:r>
          </w:p>
        </w:tc>
      </w:tr>
    </w:tbl>
    <w:p w14:paraId="1E36842D" w14:textId="77777777" w:rsidR="000C4637" w:rsidRDefault="000C463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0C4637" w14:paraId="315C79A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E2EFDA"/>
            <w:tcMar>
              <w:top w:w="80" w:type="dxa"/>
              <w:left w:w="80" w:type="dxa"/>
              <w:bottom w:w="80" w:type="dxa"/>
              <w:right w:w="80" w:type="dxa"/>
            </w:tcMar>
          </w:tcPr>
          <w:p w14:paraId="2C79799B" w14:textId="77777777" w:rsidR="000C4637" w:rsidRDefault="00000000">
            <w:pPr>
              <w:jc w:val="center"/>
            </w:pPr>
            <w:r>
              <w:rPr>
                <w:sz w:val="24"/>
                <w:szCs w:val="24"/>
              </w:rPr>
              <w:t>+</w:t>
            </w:r>
          </w:p>
        </w:tc>
        <w:tc>
          <w:tcPr>
            <w:tcW w:w="8840" w:type="dxa"/>
            <w:tcBorders>
              <w:top w:val="none" w:sz="0" w:space="0" w:color="FFFFFF"/>
              <w:left w:val="none" w:sz="0" w:space="0" w:color="FFFFFF"/>
              <w:bottom w:val="none" w:sz="0" w:space="0" w:color="FFFFFF"/>
              <w:right w:val="none" w:sz="0" w:space="0" w:color="FFFFFF"/>
            </w:tcBorders>
            <w:shd w:val="clear" w:color="auto" w:fill="E2EFDA"/>
            <w:tcMar>
              <w:top w:w="80" w:type="dxa"/>
              <w:left w:w="120" w:type="dxa"/>
              <w:bottom w:w="80" w:type="dxa"/>
              <w:right w:w="80" w:type="dxa"/>
            </w:tcMar>
          </w:tcPr>
          <w:p w14:paraId="4B3AFF2F" w14:textId="77777777" w:rsidR="000C4637" w:rsidRDefault="00000000">
            <w:pPr>
              <w:spacing w:after="40"/>
            </w:pPr>
            <w:r>
              <w:rPr>
                <w:b/>
                <w:bCs/>
                <w:color w:val="1A1A1A"/>
              </w:rPr>
              <w:t xml:space="preserve">Bottom 15 Trucks Still Productive: </w:t>
            </w:r>
            <w:r>
              <w:rPr>
                <w:color w:val="1A1A1A"/>
              </w:rPr>
              <w:t>The 15 lowest-utilised trucks in the fleet are still operating at 80–88% utilisation, all above the 80% dotted benchmark line on the dashboard. This indicates there is no significant idle asset problem in the current fleet — even the least-used vehicles are contributing productively to operations, reducing the need for immediate asset disposal decisions.</w:t>
            </w:r>
          </w:p>
        </w:tc>
      </w:tr>
    </w:tbl>
    <w:p w14:paraId="43B4C640" w14:textId="77777777" w:rsidR="000C4637" w:rsidRDefault="000C4637">
      <w:pPr>
        <w:pBdr>
          <w:bottom w:val="single" w:sz="4" w:space="4" w:color="D9D9D9"/>
        </w:pBdr>
        <w:spacing w:before="120" w:after="120"/>
      </w:pPr>
    </w:p>
    <w:p w14:paraId="09266E61" w14:textId="77777777" w:rsidR="000C4637" w:rsidRDefault="00000000">
      <w:pPr>
        <w:pStyle w:val="Heading1"/>
        <w:pBdr>
          <w:bottom w:val="single" w:sz="8" w:space="4" w:color="2E75B6"/>
        </w:pBdr>
      </w:pPr>
      <w:r>
        <w:t>Strategic Recommendations &amp; Priority Actions</w:t>
      </w:r>
    </w:p>
    <w:p w14:paraId="22652CA6" w14:textId="77777777" w:rsidR="000C4637" w:rsidRDefault="00000000">
      <w:pPr>
        <w:spacing w:before="60" w:after="60"/>
      </w:pPr>
      <w:r>
        <w:rPr>
          <w:color w:val="1A1A1A"/>
        </w:rPr>
        <w:t>Based on the cross-dashboard analysis, the following five priority actions are recommended, ranked by urgency and expected operational impact:</w:t>
      </w:r>
    </w:p>
    <w:p w14:paraId="1E6E92A1" w14:textId="77777777" w:rsidR="000C4637" w:rsidRDefault="000C4637">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00"/>
        <w:gridCol w:w="6640"/>
      </w:tblGrid>
      <w:tr w:rsidR="000C4637" w14:paraId="0D512101"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FBF86B" w14:textId="77777777" w:rsidR="000C4637" w:rsidRDefault="00000000">
            <w:pPr>
              <w:jc w:val="center"/>
            </w:pPr>
            <w:r>
              <w:rPr>
                <w:b/>
                <w:bCs/>
                <w:color w:val="FFFFFF"/>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75D0C0" w14:textId="77777777" w:rsidR="000C4637" w:rsidRDefault="00000000">
            <w:r>
              <w:rPr>
                <w:b/>
                <w:bCs/>
                <w:color w:val="FFFFFF"/>
              </w:rPr>
              <w:t>Priority Area</w:t>
            </w:r>
          </w:p>
        </w:tc>
        <w:tc>
          <w:tcPr>
            <w:tcW w:w="66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D63237" w14:textId="77777777" w:rsidR="000C4637" w:rsidRDefault="00000000">
            <w:r>
              <w:rPr>
                <w:b/>
                <w:bCs/>
                <w:color w:val="FFFFFF"/>
              </w:rPr>
              <w:t>Recommended Action</w:t>
            </w:r>
          </w:p>
        </w:tc>
      </w:tr>
      <w:tr w:rsidR="000C4637" w14:paraId="2D38ED6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BDF9A" w14:textId="77777777" w:rsidR="000C4637" w:rsidRDefault="00000000">
            <w:pPr>
              <w:jc w:val="center"/>
            </w:pPr>
            <w:r>
              <w:rPr>
                <w:b/>
                <w:bCs/>
                <w:color w:val="1F4E7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E18A5" w14:textId="77777777" w:rsidR="000C4637" w:rsidRDefault="00000000">
            <w:r>
              <w:rPr>
                <w:b/>
                <w:bCs/>
                <w:color w:val="1F4E79"/>
              </w:rPr>
              <w:t>On-Time Delivery</w:t>
            </w:r>
          </w:p>
        </w:tc>
        <w:tc>
          <w:tcPr>
            <w:tcW w:w="6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45BF8" w14:textId="77777777" w:rsidR="000C4637" w:rsidRDefault="00000000">
            <w:r>
              <w:rPr>
                <w:color w:val="1A1A1A"/>
              </w:rPr>
              <w:t>Investigate in-transit and delivery-facility breakdowns. Pickup success is 66.7% vs delivery at only 44.6% — the gap points to transit behaviour or destination facility delays. Prioritise the top 10 worst detention facilities.</w:t>
            </w:r>
          </w:p>
        </w:tc>
      </w:tr>
      <w:tr w:rsidR="000C4637" w14:paraId="4725710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80D49" w14:textId="77777777" w:rsidR="000C4637" w:rsidRDefault="00000000">
            <w:pPr>
              <w:jc w:val="center"/>
            </w:pPr>
            <w:r>
              <w:rPr>
                <w:b/>
                <w:bCs/>
                <w:color w:val="1F4E7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2A24D" w14:textId="77777777" w:rsidR="000C4637" w:rsidRDefault="00000000">
            <w:r>
              <w:rPr>
                <w:b/>
                <w:bCs/>
                <w:color w:val="1F4E79"/>
              </w:rPr>
              <w:t>Fuel Cost Efficiency</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95CAF" w14:textId="77777777" w:rsidR="000C4637" w:rsidRDefault="00000000">
            <w:r>
              <w:rPr>
                <w:color w:val="1A1A1A"/>
              </w:rPr>
              <w:t>Address the 38.98% idle rate through driver coaching and route optimisation. Fuel is consuming 32% of revenue ($95.59M). Reducing idle alone could recover ~$1.78M annually.</w:t>
            </w:r>
          </w:p>
        </w:tc>
      </w:tr>
      <w:tr w:rsidR="000C4637" w14:paraId="65D38A64"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DF004" w14:textId="77777777" w:rsidR="000C4637" w:rsidRDefault="00000000">
            <w:pPr>
              <w:jc w:val="center"/>
            </w:pPr>
            <w:r>
              <w:rPr>
                <w:b/>
                <w:bCs/>
                <w:color w:val="1F4E7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D6E18" w14:textId="77777777" w:rsidR="000C4637" w:rsidRDefault="00000000">
            <w:r>
              <w:rPr>
                <w:b/>
                <w:bCs/>
                <w:color w:val="1F4E79"/>
              </w:rPr>
              <w:t>Fleet Renewal</w:t>
            </w:r>
          </w:p>
        </w:tc>
        <w:tc>
          <w:tcPr>
            <w:tcW w:w="6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561BF" w14:textId="77777777" w:rsidR="000C4637" w:rsidRDefault="00000000">
            <w:r>
              <w:rPr>
                <w:color w:val="1A1A1A"/>
              </w:rPr>
              <w:t>Begin phased replacement of the 100 trucks aged 6-9 years. Maintenance costs spiked in 2024 and will continue rising. International-brand trucks (2015 vintage) are highest-cost candidates for early retirement.</w:t>
            </w:r>
          </w:p>
        </w:tc>
      </w:tr>
      <w:tr w:rsidR="000C4637" w14:paraId="1F314330"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10C65" w14:textId="77777777" w:rsidR="000C4637" w:rsidRDefault="00000000">
            <w:pPr>
              <w:jc w:val="center"/>
            </w:pPr>
            <w:r>
              <w:rPr>
                <w:b/>
                <w:bCs/>
                <w:color w:val="1F4E7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57860" w14:textId="77777777" w:rsidR="000C4637" w:rsidRDefault="00000000">
            <w:r>
              <w:rPr>
                <w:b/>
                <w:bCs/>
                <w:color w:val="1F4E79"/>
              </w:rPr>
              <w:t>Revenue Trend</w:t>
            </w:r>
          </w:p>
        </w:tc>
        <w:tc>
          <w:tcPr>
            <w:tcW w:w="6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7D41E" w14:textId="77777777" w:rsidR="000C4637" w:rsidRDefault="00000000">
            <w:r>
              <w:rPr>
                <w:color w:val="1A1A1A"/>
              </w:rPr>
              <w:t>Reverse the declining monthly revenue trend (from $25.5M to $23M). Investigate whether declining rates, lost loads, or booking mix shift is responsible.</w:t>
            </w:r>
          </w:p>
        </w:tc>
      </w:tr>
      <w:tr w:rsidR="000C4637" w14:paraId="4DD22F2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B5C6F" w14:textId="77777777" w:rsidR="000C4637" w:rsidRDefault="00000000">
            <w:pPr>
              <w:jc w:val="center"/>
            </w:pPr>
            <w:r>
              <w:rPr>
                <w:b/>
                <w:bCs/>
                <w:color w:val="1F4E7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5D98D" w14:textId="77777777" w:rsidR="000C4637" w:rsidRDefault="00000000">
            <w:r>
              <w:rPr>
                <w:b/>
                <w:bCs/>
                <w:color w:val="1F4E79"/>
              </w:rPr>
              <w:t>Safety Culture</w:t>
            </w:r>
          </w:p>
        </w:tc>
        <w:tc>
          <w:tcPr>
            <w:tcW w:w="6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7DE25" w14:textId="77777777" w:rsidR="000C4637" w:rsidRDefault="00000000">
            <w:r>
              <w:rPr>
                <w:color w:val="1A1A1A"/>
              </w:rPr>
              <w:t>Implement targeted safety interventions at Atlanta, Charlotte, and Chicago terminals where incident concentrations are highest.</w:t>
            </w:r>
          </w:p>
        </w:tc>
      </w:tr>
    </w:tbl>
    <w:p w14:paraId="13687CE2" w14:textId="77777777" w:rsidR="000C4637" w:rsidRDefault="000C4637">
      <w:pPr>
        <w:spacing w:before="120" w:after="40"/>
      </w:pPr>
    </w:p>
    <w:p w14:paraId="2A8BB209" w14:textId="77777777" w:rsidR="000C4637" w:rsidRDefault="00000000">
      <w:pPr>
        <w:pBdr>
          <w:top w:val="single" w:sz="8" w:space="8" w:color="2E75B6"/>
        </w:pBdr>
        <w:spacing w:before="240" w:after="80"/>
      </w:pPr>
      <w:r>
        <w:rPr>
          <w:b/>
          <w:bCs/>
          <w:color w:val="1F4E79"/>
          <w:sz w:val="24"/>
          <w:szCs w:val="24"/>
        </w:rPr>
        <w:t>Report Prepared by: Jimoh Latifat Adenike</w:t>
      </w:r>
    </w:p>
    <w:p w14:paraId="4C39C522" w14:textId="045F7650" w:rsidR="000C4637" w:rsidRDefault="00000000">
      <w:pPr>
        <w:spacing w:before="40" w:after="40"/>
      </w:pPr>
      <w:r>
        <w:rPr>
          <w:color w:val="666666"/>
          <w:sz w:val="20"/>
          <w:szCs w:val="20"/>
        </w:rPr>
        <w:t xml:space="preserve">Final Year Capstone Project — </w:t>
      </w:r>
      <w:r w:rsidR="00DA0BA9">
        <w:rPr>
          <w:color w:val="666666"/>
          <w:sz w:val="20"/>
          <w:szCs w:val="20"/>
        </w:rPr>
        <w:t>Logistics</w:t>
      </w:r>
      <w:r>
        <w:rPr>
          <w:color w:val="666666"/>
          <w:sz w:val="20"/>
          <w:szCs w:val="20"/>
        </w:rPr>
        <w:t xml:space="preserve"> Operations Power BI Dashboard Suite</w:t>
      </w:r>
    </w:p>
    <w:p w14:paraId="5F4C763A" w14:textId="40B91AC4" w:rsidR="000C4637" w:rsidRDefault="00000000">
      <w:pPr>
        <w:spacing w:before="40" w:after="40"/>
      </w:pPr>
      <w:r>
        <w:rPr>
          <w:color w:val="666666"/>
          <w:sz w:val="20"/>
          <w:szCs w:val="20"/>
        </w:rPr>
        <w:t xml:space="preserve">Data Coverage: Fiscal Years 2022, 2023, and </w:t>
      </w:r>
      <w:r w:rsidR="00DA0BA9">
        <w:rPr>
          <w:color w:val="666666"/>
          <w:sz w:val="20"/>
          <w:szCs w:val="20"/>
        </w:rPr>
        <w:t>2024 | Total</w:t>
      </w:r>
      <w:r>
        <w:rPr>
          <w:color w:val="666666"/>
          <w:sz w:val="20"/>
          <w:szCs w:val="20"/>
        </w:rPr>
        <w:t xml:space="preserve"> Revenue: $298.62M </w:t>
      </w:r>
      <w:proofErr w:type="gramStart"/>
      <w:r>
        <w:rPr>
          <w:color w:val="666666"/>
          <w:sz w:val="20"/>
          <w:szCs w:val="20"/>
        </w:rPr>
        <w:t>|  Total</w:t>
      </w:r>
      <w:proofErr w:type="gramEnd"/>
      <w:r>
        <w:rPr>
          <w:color w:val="666666"/>
          <w:sz w:val="20"/>
          <w:szCs w:val="20"/>
        </w:rPr>
        <w:t xml:space="preserve"> Trips: 85.41K</w:t>
      </w:r>
      <w:r w:rsidR="00DA0BA9">
        <w:rPr>
          <w:color w:val="666666"/>
          <w:sz w:val="20"/>
          <w:szCs w:val="20"/>
        </w:rPr>
        <w:t xml:space="preserve"> </w:t>
      </w:r>
    </w:p>
    <w:sectPr w:rsidR="000C4637">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11E9" w14:textId="77777777" w:rsidR="00927E42" w:rsidRDefault="00927E42">
      <w:r>
        <w:separator/>
      </w:r>
    </w:p>
  </w:endnote>
  <w:endnote w:type="continuationSeparator" w:id="0">
    <w:p w14:paraId="5F390B75" w14:textId="77777777" w:rsidR="00927E42" w:rsidRDefault="00927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00ED" w14:textId="1D15FD3A" w:rsidR="000C4637" w:rsidRDefault="00000000">
    <w:pPr>
      <w:pBdr>
        <w:top w:val="single" w:sz="4" w:space="4" w:color="D9D9D9"/>
      </w:pBdr>
      <w:tabs>
        <w:tab w:val="right" w:pos="9026"/>
      </w:tabs>
      <w:spacing w:before="80"/>
    </w:pPr>
    <w:r>
      <w:rPr>
        <w:color w:val="888888"/>
        <w:sz w:val="16"/>
        <w:szCs w:val="16"/>
      </w:rPr>
      <w:t xml:space="preserve">Confidential — </w:t>
    </w:r>
    <w:r w:rsidR="00DA0BA9">
      <w:rPr>
        <w:color w:val="888888"/>
        <w:sz w:val="16"/>
        <w:szCs w:val="16"/>
      </w:rPr>
      <w:t>Logistics</w:t>
    </w:r>
    <w:r>
      <w:rPr>
        <w:color w:val="888888"/>
        <w:sz w:val="16"/>
        <w:szCs w:val="16"/>
      </w:rPr>
      <w:t xml:space="preserve"> Operations </w:t>
    </w:r>
    <w:r w:rsidR="00DA0BA9">
      <w:rPr>
        <w:color w:val="888888"/>
        <w:sz w:val="16"/>
        <w:szCs w:val="16"/>
      </w:rPr>
      <w:t>Analysis | Data</w:t>
    </w:r>
    <w:r>
      <w:rPr>
        <w:color w:val="888888"/>
        <w:sz w:val="16"/>
        <w:szCs w:val="16"/>
      </w:rPr>
      <w:t>: 2022–2024</w:t>
    </w:r>
    <w:r>
      <w:rPr>
        <w:color w:val="888888"/>
        <w:sz w:val="16"/>
        <w:szCs w:val="16"/>
      </w:rPr>
      <w:tab/>
      <w:t xml:space="preserve">Page </w:t>
    </w:r>
    <w:r>
      <w:fldChar w:fldCharType="begin"/>
    </w:r>
    <w:r>
      <w:instrText>PAGE</w:instrText>
    </w:r>
    <w:r>
      <w:fldChar w:fldCharType="separate"/>
    </w:r>
    <w:r w:rsidR="000C0C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3EA64" w14:textId="77777777" w:rsidR="00927E42" w:rsidRDefault="00927E42">
      <w:r>
        <w:separator/>
      </w:r>
    </w:p>
  </w:footnote>
  <w:footnote w:type="continuationSeparator" w:id="0">
    <w:p w14:paraId="186FA9C8" w14:textId="77777777" w:rsidR="00927E42" w:rsidRDefault="00927E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9E3A" w14:textId="21AB1BA5" w:rsidR="000C4637" w:rsidRPr="00DA0BA9" w:rsidRDefault="00DA0BA9">
    <w:pPr>
      <w:pBdr>
        <w:bottom w:val="single" w:sz="6" w:space="4" w:color="2E75B6"/>
      </w:pBdr>
      <w:spacing w:after="120"/>
      <w:rPr>
        <w:b/>
        <w:bCs/>
        <w:color w:val="1F4E79"/>
        <w:sz w:val="18"/>
        <w:szCs w:val="18"/>
      </w:rPr>
    </w:pPr>
    <w:r>
      <w:rPr>
        <w:b/>
        <w:bCs/>
        <w:color w:val="1F4E79"/>
        <w:sz w:val="18"/>
        <w:szCs w:val="18"/>
      </w:rPr>
      <w:t>CAPSTONE PROJECT</w:t>
    </w:r>
    <w:r w:rsidR="00000000">
      <w:rPr>
        <w:b/>
        <w:bCs/>
        <w:color w:val="1F4E79"/>
        <w:sz w:val="18"/>
        <w:szCs w:val="18"/>
      </w:rPr>
      <w:t xml:space="preserve"> — DASHBOARD INSIGHTS </w:t>
    </w:r>
    <w:r>
      <w:rPr>
        <w:b/>
        <w:bCs/>
        <w:color w:val="1F4E79"/>
        <w:sz w:val="18"/>
        <w:szCs w:val="18"/>
      </w:rPr>
      <w:t>REPORT</w:t>
    </w:r>
    <w:r>
      <w:rPr>
        <w:color w:val="666666"/>
        <w:sz w:val="18"/>
        <w:szCs w:val="18"/>
      </w:rPr>
      <w:t xml:space="preserve"> | Prepared</w:t>
    </w:r>
    <w:r w:rsidR="00000000">
      <w:rPr>
        <w:color w:val="666666"/>
        <w:sz w:val="18"/>
        <w:szCs w:val="18"/>
      </w:rPr>
      <w:t xml:space="preserve"> by: Jimoh Latifat Adenike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03C87"/>
    <w:multiLevelType w:val="hybridMultilevel"/>
    <w:tmpl w:val="A12A6700"/>
    <w:lvl w:ilvl="0" w:tplc="E91A2AF0">
      <w:start w:val="1"/>
      <w:numFmt w:val="bullet"/>
      <w:lvlText w:val="●"/>
      <w:lvlJc w:val="left"/>
      <w:pPr>
        <w:ind w:left="720" w:hanging="360"/>
      </w:pPr>
    </w:lvl>
    <w:lvl w:ilvl="1" w:tplc="B7E8E87E">
      <w:numFmt w:val="decimal"/>
      <w:lvlText w:val=""/>
      <w:lvlJc w:val="left"/>
    </w:lvl>
    <w:lvl w:ilvl="2" w:tplc="F164179A">
      <w:numFmt w:val="decimal"/>
      <w:lvlText w:val=""/>
      <w:lvlJc w:val="left"/>
    </w:lvl>
    <w:lvl w:ilvl="3" w:tplc="F10E54A4">
      <w:numFmt w:val="decimal"/>
      <w:lvlText w:val=""/>
      <w:lvlJc w:val="left"/>
    </w:lvl>
    <w:lvl w:ilvl="4" w:tplc="6FCC5A76">
      <w:numFmt w:val="decimal"/>
      <w:lvlText w:val=""/>
      <w:lvlJc w:val="left"/>
    </w:lvl>
    <w:lvl w:ilvl="5" w:tplc="F8440FDE">
      <w:numFmt w:val="decimal"/>
      <w:lvlText w:val=""/>
      <w:lvlJc w:val="left"/>
    </w:lvl>
    <w:lvl w:ilvl="6" w:tplc="3E9AEDCE">
      <w:numFmt w:val="decimal"/>
      <w:lvlText w:val=""/>
      <w:lvlJc w:val="left"/>
    </w:lvl>
    <w:lvl w:ilvl="7" w:tplc="AA0C1B22">
      <w:numFmt w:val="decimal"/>
      <w:lvlText w:val=""/>
      <w:lvlJc w:val="left"/>
    </w:lvl>
    <w:lvl w:ilvl="8" w:tplc="30C66426">
      <w:numFmt w:val="decimal"/>
      <w:lvlText w:val=""/>
      <w:lvlJc w:val="left"/>
    </w:lvl>
  </w:abstractNum>
  <w:abstractNum w:abstractNumId="1" w15:restartNumberingAfterBreak="0">
    <w:nsid w:val="6AB7436A"/>
    <w:multiLevelType w:val="hybridMultilevel"/>
    <w:tmpl w:val="40A2E198"/>
    <w:lvl w:ilvl="0" w:tplc="07581E1C">
      <w:start w:val="1"/>
      <w:numFmt w:val="bullet"/>
      <w:lvlText w:val="●"/>
      <w:lvlJc w:val="left"/>
      <w:pPr>
        <w:ind w:left="720" w:hanging="360"/>
      </w:pPr>
    </w:lvl>
    <w:lvl w:ilvl="1" w:tplc="88BC2548">
      <w:start w:val="1"/>
      <w:numFmt w:val="bullet"/>
      <w:lvlText w:val="○"/>
      <w:lvlJc w:val="left"/>
      <w:pPr>
        <w:ind w:left="1440" w:hanging="360"/>
      </w:pPr>
    </w:lvl>
    <w:lvl w:ilvl="2" w:tplc="B032D976">
      <w:start w:val="1"/>
      <w:numFmt w:val="bullet"/>
      <w:lvlText w:val="■"/>
      <w:lvlJc w:val="left"/>
      <w:pPr>
        <w:ind w:left="2160" w:hanging="360"/>
      </w:pPr>
    </w:lvl>
    <w:lvl w:ilvl="3" w:tplc="27205B26">
      <w:start w:val="1"/>
      <w:numFmt w:val="bullet"/>
      <w:lvlText w:val="●"/>
      <w:lvlJc w:val="left"/>
      <w:pPr>
        <w:ind w:left="2880" w:hanging="360"/>
      </w:pPr>
    </w:lvl>
    <w:lvl w:ilvl="4" w:tplc="5D7842EA">
      <w:start w:val="1"/>
      <w:numFmt w:val="bullet"/>
      <w:lvlText w:val="○"/>
      <w:lvlJc w:val="left"/>
      <w:pPr>
        <w:ind w:left="3600" w:hanging="360"/>
      </w:pPr>
    </w:lvl>
    <w:lvl w:ilvl="5" w:tplc="A0BE4AB2">
      <w:start w:val="1"/>
      <w:numFmt w:val="bullet"/>
      <w:lvlText w:val="■"/>
      <w:lvlJc w:val="left"/>
      <w:pPr>
        <w:ind w:left="4320" w:hanging="360"/>
      </w:pPr>
    </w:lvl>
    <w:lvl w:ilvl="6" w:tplc="02189580">
      <w:start w:val="1"/>
      <w:numFmt w:val="bullet"/>
      <w:lvlText w:val="●"/>
      <w:lvlJc w:val="left"/>
      <w:pPr>
        <w:ind w:left="5040" w:hanging="360"/>
      </w:pPr>
    </w:lvl>
    <w:lvl w:ilvl="7" w:tplc="C9D2295C">
      <w:start w:val="1"/>
      <w:numFmt w:val="bullet"/>
      <w:lvlText w:val="●"/>
      <w:lvlJc w:val="left"/>
      <w:pPr>
        <w:ind w:left="5760" w:hanging="360"/>
      </w:pPr>
    </w:lvl>
    <w:lvl w:ilvl="8" w:tplc="304C438E">
      <w:start w:val="1"/>
      <w:numFmt w:val="bullet"/>
      <w:lvlText w:val="●"/>
      <w:lvlJc w:val="left"/>
      <w:pPr>
        <w:ind w:left="6480" w:hanging="360"/>
      </w:pPr>
    </w:lvl>
  </w:abstractNum>
  <w:num w:numId="1" w16cid:durableId="831409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637"/>
    <w:rsid w:val="000C0C0D"/>
    <w:rsid w:val="000C4637"/>
    <w:rsid w:val="00927E42"/>
    <w:rsid w:val="00DA0BA9"/>
    <w:rsid w:val="00DC382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E819E"/>
  <w15:docId w15:val="{B297BB13-6DE5-466A-9688-0E4490F64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semiHidden/>
    <w:unhideWhenUsed/>
    <w:qFormat/>
    <w:pPr>
      <w:spacing w:before="280" w:after="8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A0BA9"/>
    <w:pPr>
      <w:tabs>
        <w:tab w:val="center" w:pos="4513"/>
        <w:tab w:val="right" w:pos="9026"/>
      </w:tabs>
    </w:pPr>
  </w:style>
  <w:style w:type="character" w:customStyle="1" w:styleId="HeaderChar">
    <w:name w:val="Header Char"/>
    <w:basedOn w:val="DefaultParagraphFont"/>
    <w:link w:val="Header"/>
    <w:uiPriority w:val="99"/>
    <w:rsid w:val="00DA0BA9"/>
  </w:style>
  <w:style w:type="paragraph" w:styleId="Footer">
    <w:name w:val="footer"/>
    <w:basedOn w:val="Normal"/>
    <w:link w:val="FooterChar"/>
    <w:uiPriority w:val="99"/>
    <w:unhideWhenUsed/>
    <w:rsid w:val="00DA0BA9"/>
    <w:pPr>
      <w:tabs>
        <w:tab w:val="center" w:pos="4513"/>
        <w:tab w:val="right" w:pos="9026"/>
      </w:tabs>
    </w:pPr>
  </w:style>
  <w:style w:type="character" w:customStyle="1" w:styleId="FooterChar">
    <w:name w:val="Footer Char"/>
    <w:basedOn w:val="DefaultParagraphFont"/>
    <w:link w:val="Footer"/>
    <w:uiPriority w:val="99"/>
    <w:rsid w:val="00DA0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2478</Words>
  <Characters>14127</Characters>
  <Application>Microsoft Office Word</Application>
  <DocSecurity>0</DocSecurity>
  <Lines>117</Lines>
  <Paragraphs>33</Paragraphs>
  <ScaleCrop>false</ScaleCrop>
  <Company/>
  <LinksUpToDate>false</LinksUpToDate>
  <CharactersWithSpaces>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acct11</cp:lastModifiedBy>
  <cp:revision>3</cp:revision>
  <cp:lastPrinted>2026-05-23T15:17:00Z</cp:lastPrinted>
  <dcterms:created xsi:type="dcterms:W3CDTF">2026-05-23T15:08:00Z</dcterms:created>
  <dcterms:modified xsi:type="dcterms:W3CDTF">2026-05-23T15:17:00Z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2026-05-23T15:08:07Z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5c3af348-4b72-4248-9ab2-fbf7614bb986</vt:lpwstr>
  </property>
  <property fmtid="{D5CDD505-2E9C-101B-9397-08002B2CF9AE}" pid="7" name="MSIP_Label_defa4170-0d19-0005-0004-bc88714345d2_ActionId">
    <vt:lpwstr>cd1b7a26-feb9-4484-b28c-8c3bbaec0e7f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