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E6E" w:rsidRDefault="00031E6E" w:rsidP="00E40A84">
      <w:pPr>
        <w:jc w:val="center"/>
      </w:pPr>
    </w:p>
    <w:p w:rsidR="00031E6E" w:rsidRDefault="00031E6E" w:rsidP="00E40A84">
      <w:pPr>
        <w:jc w:val="center"/>
      </w:pPr>
    </w:p>
    <w:p w:rsidR="00031E6E" w:rsidRDefault="00031E6E" w:rsidP="00E40A84">
      <w:pPr>
        <w:jc w:val="center"/>
      </w:pPr>
    </w:p>
    <w:p w:rsidR="00E40A84" w:rsidRDefault="00E40A84" w:rsidP="00E40A84">
      <w:pPr>
        <w:jc w:val="center"/>
      </w:pPr>
      <w:r>
        <w:rPr>
          <w:noProof/>
        </w:rPr>
        <w:drawing>
          <wp:inline distT="0" distB="0" distL="0" distR="0">
            <wp:extent cx="1143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A84" w:rsidRPr="00CE0760" w:rsidRDefault="00E40A84" w:rsidP="00CE0760">
      <w:pPr>
        <w:jc w:val="center"/>
        <w:rPr>
          <w:b/>
          <w:i/>
          <w:color w:val="C45911" w:themeColor="accent2" w:themeShade="BF"/>
          <w:sz w:val="40"/>
          <w:szCs w:val="40"/>
        </w:rPr>
      </w:pPr>
      <w:r w:rsidRPr="00CE0760">
        <w:rPr>
          <w:b/>
          <w:i/>
          <w:color w:val="C45911" w:themeColor="accent2" w:themeShade="BF"/>
          <w:sz w:val="40"/>
          <w:szCs w:val="40"/>
        </w:rPr>
        <w:t>RBC online banking screen shots</w:t>
      </w:r>
    </w:p>
    <w:p w:rsidR="00E40A84" w:rsidRPr="00CE0760" w:rsidRDefault="00E40A84" w:rsidP="00CE0760">
      <w:pPr>
        <w:jc w:val="center"/>
        <w:rPr>
          <w:b/>
          <w:i/>
          <w:color w:val="C45911" w:themeColor="accent2" w:themeShade="BF"/>
          <w:sz w:val="40"/>
          <w:szCs w:val="40"/>
        </w:rPr>
      </w:pPr>
      <w:r w:rsidRPr="00CE0760">
        <w:rPr>
          <w:b/>
          <w:i/>
          <w:color w:val="C45911" w:themeColor="accent2" w:themeShade="BF"/>
          <w:sz w:val="40"/>
          <w:szCs w:val="40"/>
        </w:rPr>
        <w:t>By: CuseyHub</w:t>
      </w:r>
    </w:p>
    <w:p w:rsidR="00E40A84" w:rsidRPr="00CE0760" w:rsidRDefault="00E40A84" w:rsidP="00CE0760">
      <w:pPr>
        <w:jc w:val="center"/>
        <w:rPr>
          <w:b/>
          <w:i/>
          <w:color w:val="C45911" w:themeColor="accent2" w:themeShade="BF"/>
          <w:sz w:val="40"/>
          <w:szCs w:val="40"/>
        </w:rPr>
      </w:pPr>
      <w:r w:rsidRPr="00CE0760">
        <w:rPr>
          <w:b/>
          <w:i/>
          <w:color w:val="C45911" w:themeColor="accent2" w:themeShade="BF"/>
          <w:sz w:val="40"/>
          <w:szCs w:val="40"/>
        </w:rPr>
        <w:t>Date: December 12, 2018</w:t>
      </w:r>
    </w:p>
    <w:p w:rsidR="00E40A84" w:rsidRDefault="00E40A84"/>
    <w:p w:rsidR="00031E6E" w:rsidRDefault="00031E6E"/>
    <w:p w:rsidR="00031E6E" w:rsidRDefault="00031E6E"/>
    <w:p w:rsidR="00031E6E" w:rsidRDefault="00031E6E"/>
    <w:p w:rsidR="00031E6E" w:rsidRDefault="00031E6E"/>
    <w:p w:rsidR="00E40A84" w:rsidRDefault="00E40A84">
      <w:r w:rsidRPr="00E40A84">
        <w:t xml:space="preserve">The </w:t>
      </w:r>
      <w:r w:rsidRPr="00CE0760">
        <w:rPr>
          <w:b/>
          <w:i/>
        </w:rPr>
        <w:t>Royal Bank of Canada (RBC)</w:t>
      </w:r>
      <w:r w:rsidRPr="00E40A84">
        <w:t xml:space="preserve"> is a Canadian multinational financial services company and the largest bank in Canada by market capitalization. The bank serves over 16 million clients and has 80,000 employees worldwide.[4] The bank was founded in 1864 in Halifax, Nova Scotia, while its corporate headquarters are located in Montreal, Quebec and Toronto, Ontario.[4][2] RBC's Institution Number (or bank number) is 003. In November 2017, RBC </w:t>
      </w:r>
      <w:proofErr w:type="gramStart"/>
      <w:r w:rsidRPr="00E40A84">
        <w:t>was added</w:t>
      </w:r>
      <w:proofErr w:type="gramEnd"/>
      <w:r w:rsidRPr="00E40A84">
        <w:t xml:space="preserve"> to the Financial Stability Board's list of global systemically important banks.</w:t>
      </w:r>
    </w:p>
    <w:p w:rsidR="00031E6E" w:rsidRDefault="00031E6E"/>
    <w:p w:rsidR="00031E6E" w:rsidRDefault="00031E6E"/>
    <w:p w:rsidR="00CE0760" w:rsidRPr="00CE0760" w:rsidRDefault="00E40A84">
      <w:pPr>
        <w:rPr>
          <w:b/>
          <w:i/>
          <w:color w:val="C45911" w:themeColor="accent2" w:themeShade="BF"/>
          <w:sz w:val="40"/>
          <w:szCs w:val="40"/>
        </w:rPr>
      </w:pPr>
      <w:r w:rsidRPr="00CE0760">
        <w:rPr>
          <w:b/>
          <w:i/>
          <w:color w:val="C45911" w:themeColor="accent2" w:themeShade="BF"/>
          <w:sz w:val="40"/>
          <w:szCs w:val="40"/>
        </w:rPr>
        <w:t xml:space="preserve">References: </w:t>
      </w:r>
    </w:p>
    <w:p w:rsidR="00143B6E" w:rsidRDefault="00896AEB">
      <w:pPr>
        <w:rPr>
          <w:rStyle w:val="Hyperlink"/>
        </w:rPr>
      </w:pPr>
      <w:hyperlink r:id="rId7" w:history="1">
        <w:r w:rsidR="00E40A84" w:rsidRPr="00D745B5">
          <w:rPr>
            <w:rStyle w:val="Hyperlink"/>
          </w:rPr>
          <w:t>https://en.wikipedia.org/wiki/Royal_Bank_of_Canada</w:t>
        </w:r>
      </w:hyperlink>
    </w:p>
    <w:p w:rsidR="00CE0760" w:rsidRDefault="00896AEB">
      <w:pPr>
        <w:rPr>
          <w:rStyle w:val="Hyperlink"/>
        </w:rPr>
      </w:pPr>
      <w:hyperlink r:id="rId8" w:history="1">
        <w:r w:rsidR="00CE0760" w:rsidRPr="00B7106D">
          <w:rPr>
            <w:rStyle w:val="Hyperlink"/>
          </w:rPr>
          <w:t>https://www.youtube.com/watch?v=N4pKyhwBq4w&amp;list=PL0u7mzfWrc9fIRUdhDaJEYIgqLC2iPceY</w:t>
        </w:r>
      </w:hyperlink>
    </w:p>
    <w:p w:rsidR="00BA306A" w:rsidRDefault="00BA306A">
      <w:pPr>
        <w:rPr>
          <w:rStyle w:val="Hyperlink"/>
        </w:rPr>
      </w:pPr>
    </w:p>
    <w:p w:rsidR="00BA306A" w:rsidRDefault="00BA306A">
      <w:pPr>
        <w:rPr>
          <w:b/>
          <w:i/>
          <w:color w:val="C45911" w:themeColor="accent2" w:themeShade="BF"/>
          <w:sz w:val="40"/>
          <w:szCs w:val="40"/>
        </w:rPr>
      </w:pPr>
      <w:r w:rsidRPr="00BA306A">
        <w:rPr>
          <w:b/>
          <w:i/>
          <w:color w:val="C45911" w:themeColor="accent2" w:themeShade="BF"/>
          <w:sz w:val="40"/>
          <w:szCs w:val="40"/>
        </w:rPr>
        <w:lastRenderedPageBreak/>
        <w:t>Bills &amp; Managing Payees</w:t>
      </w:r>
    </w:p>
    <w:p w:rsidR="000606A2" w:rsidRDefault="000606A2">
      <w:pPr>
        <w:rPr>
          <w:b/>
          <w:i/>
          <w:color w:val="C45911" w:themeColor="accent2" w:themeShade="BF"/>
          <w:sz w:val="40"/>
          <w:szCs w:val="40"/>
        </w:rPr>
      </w:pPr>
      <w:r>
        <w:rPr>
          <w:noProof/>
        </w:rPr>
        <w:drawing>
          <wp:inline distT="0" distB="0" distL="0" distR="0" wp14:anchorId="2CC9CC10" wp14:editId="35467471">
            <wp:extent cx="4693920" cy="2769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786" cy="278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E7" w:rsidRPr="00ED43E7" w:rsidRDefault="00ED43E7">
      <w:pPr>
        <w:rPr>
          <w:sz w:val="22"/>
          <w:szCs w:val="22"/>
        </w:rPr>
      </w:pPr>
      <w:r w:rsidRPr="00ED43E7">
        <w:rPr>
          <w:sz w:val="22"/>
          <w:szCs w:val="22"/>
        </w:rPr>
        <w:t xml:space="preserve">Click on the </w:t>
      </w:r>
      <w:r w:rsidRPr="00ED43E7">
        <w:rPr>
          <w:b/>
          <w:i/>
        </w:rPr>
        <w:t>Pay Bills and Transfer Hype Link</w:t>
      </w:r>
      <w:r>
        <w:t xml:space="preserve"> from the Business Accounts navigation panel in the left side of the screen.</w:t>
      </w:r>
    </w:p>
    <w:p w:rsidR="00BA306A" w:rsidRPr="00BA306A" w:rsidRDefault="00BA306A">
      <w:pPr>
        <w:rPr>
          <w:b/>
          <w:i/>
          <w:color w:val="C45911" w:themeColor="accent2" w:themeShade="BF"/>
          <w:sz w:val="40"/>
          <w:szCs w:val="40"/>
        </w:rPr>
      </w:pPr>
    </w:p>
    <w:p w:rsidR="00CE0760" w:rsidRDefault="00ED43E7">
      <w:r>
        <w:rPr>
          <w:noProof/>
        </w:rPr>
        <w:drawing>
          <wp:inline distT="0" distB="0" distL="0" distR="0" wp14:anchorId="5DD745D9" wp14:editId="48151514">
            <wp:extent cx="4686300" cy="3037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312" cy="304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E7" w:rsidRDefault="00ED43E7">
      <w:r>
        <w:lastRenderedPageBreak/>
        <w:t xml:space="preserve">Click the </w:t>
      </w:r>
      <w:r w:rsidRPr="00ED43E7">
        <w:rPr>
          <w:b/>
          <w:i/>
        </w:rPr>
        <w:t>Submit Button</w:t>
      </w:r>
      <w:r>
        <w:t xml:space="preserve"> at the lower right hand cornor. </w:t>
      </w:r>
    </w:p>
    <w:p w:rsidR="00ED43E7" w:rsidRDefault="00ED43E7">
      <w:r>
        <w:rPr>
          <w:noProof/>
        </w:rPr>
        <w:drawing>
          <wp:inline distT="0" distB="0" distL="0" distR="0" wp14:anchorId="5BFDADFA" wp14:editId="3496C7D9">
            <wp:extent cx="6157007" cy="2583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595" cy="25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E7" w:rsidRDefault="00ED43E7" w:rsidP="00ED43E7">
      <w:r>
        <w:t xml:space="preserve">Click the </w:t>
      </w:r>
      <w:r>
        <w:rPr>
          <w:b/>
          <w:i/>
        </w:rPr>
        <w:t>Confirm</w:t>
      </w:r>
      <w:r w:rsidRPr="00ED43E7">
        <w:rPr>
          <w:b/>
          <w:i/>
        </w:rPr>
        <w:t xml:space="preserve"> Button</w:t>
      </w:r>
      <w:r>
        <w:t xml:space="preserve"> at the lower right hand cornor. </w:t>
      </w:r>
    </w:p>
    <w:p w:rsidR="00CE0760" w:rsidRDefault="00CE0760"/>
    <w:p w:rsidR="00CE0760" w:rsidRDefault="006166EF">
      <w:r>
        <w:rPr>
          <w:noProof/>
        </w:rPr>
        <w:drawing>
          <wp:inline distT="0" distB="0" distL="0" distR="0" wp14:anchorId="062CBF98" wp14:editId="3E2E4D8B">
            <wp:extent cx="6057054" cy="33223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090" cy="33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6E" w:rsidRDefault="00031E6E">
      <w:r>
        <w:t xml:space="preserve">See the Confirmation Number in the middle of the page. </w:t>
      </w:r>
    </w:p>
    <w:p w:rsidR="00031E6E" w:rsidRDefault="00031E6E"/>
    <w:p w:rsidR="00031E6E" w:rsidRDefault="00031E6E">
      <w:bookmarkStart w:id="0" w:name="_GoBack"/>
      <w:bookmarkEnd w:id="0"/>
    </w:p>
    <w:p w:rsidR="006166EF" w:rsidRDefault="006166EF"/>
    <w:p w:rsidR="006166EF" w:rsidRDefault="006166EF"/>
    <w:p w:rsidR="00E40A84" w:rsidRDefault="00E40A84"/>
    <w:sectPr w:rsidR="00E40A84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AEB" w:rsidRDefault="00896AEB" w:rsidP="00D2304B">
      <w:pPr>
        <w:spacing w:after="0" w:line="240" w:lineRule="auto"/>
      </w:pPr>
      <w:r>
        <w:separator/>
      </w:r>
    </w:p>
  </w:endnote>
  <w:endnote w:type="continuationSeparator" w:id="0">
    <w:p w:rsidR="00896AEB" w:rsidRDefault="00896AEB" w:rsidP="00D23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8781487"/>
      <w:docPartObj>
        <w:docPartGallery w:val="Page Numbers (Bottom of Page)"/>
        <w:docPartUnique/>
      </w:docPartObj>
    </w:sdtPr>
    <w:sdtContent>
      <w:p w:rsidR="00D2304B" w:rsidRDefault="00D2304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1E6E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D2304B" w:rsidRDefault="00D230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AEB" w:rsidRDefault="00896AEB" w:rsidP="00D2304B">
      <w:pPr>
        <w:spacing w:after="0" w:line="240" w:lineRule="auto"/>
      </w:pPr>
      <w:r>
        <w:separator/>
      </w:r>
    </w:p>
  </w:footnote>
  <w:footnote w:type="continuationSeparator" w:id="0">
    <w:p w:rsidR="00896AEB" w:rsidRDefault="00896AEB" w:rsidP="00D23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E6E" w:rsidRDefault="00031E6E">
    <w:pPr>
      <w:pStyle w:val="Header"/>
    </w:pPr>
    <w:r>
      <w:rPr>
        <w:noProof/>
      </w:rPr>
      <w:drawing>
        <wp:inline distT="0" distB="0" distL="0" distR="0" wp14:anchorId="6933B6E2" wp14:editId="242B0752">
          <wp:extent cx="5943600" cy="1231900"/>
          <wp:effectExtent l="0" t="0" r="0" b="635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1231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31E6E" w:rsidRDefault="00031E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510"/>
    <w:rsid w:val="00031E6E"/>
    <w:rsid w:val="000606A2"/>
    <w:rsid w:val="00143B6E"/>
    <w:rsid w:val="006166EF"/>
    <w:rsid w:val="00896AEB"/>
    <w:rsid w:val="00BA306A"/>
    <w:rsid w:val="00CE0760"/>
    <w:rsid w:val="00D2304B"/>
    <w:rsid w:val="00E34510"/>
    <w:rsid w:val="00E40A84"/>
    <w:rsid w:val="00ED43E7"/>
    <w:rsid w:val="00FC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3B96D"/>
  <w15:chartTrackingRefBased/>
  <w15:docId w15:val="{1EB9646C-53CF-46C9-B339-ED27374AE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04B"/>
  </w:style>
  <w:style w:type="paragraph" w:styleId="Heading1">
    <w:name w:val="heading 1"/>
    <w:basedOn w:val="Normal"/>
    <w:next w:val="Normal"/>
    <w:link w:val="Heading1Char"/>
    <w:uiPriority w:val="9"/>
    <w:qFormat/>
    <w:rsid w:val="00D2304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04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04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0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04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04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04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04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04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0A84"/>
    <w:rPr>
      <w:color w:val="0563C1" w:themeColor="hyperlink"/>
      <w:u w:val="single"/>
    </w:rPr>
  </w:style>
  <w:style w:type="character" w:customStyle="1" w:styleId="watch-title">
    <w:name w:val="watch-title"/>
    <w:basedOn w:val="DefaultParagraphFont"/>
    <w:rsid w:val="00BA306A"/>
    <w:rPr>
      <w:sz w:val="24"/>
      <w:szCs w:val="24"/>
      <w:bdr w:val="none" w:sz="0" w:space="0" w:color="auto" w:frame="1"/>
      <w:shd w:val="clear" w:color="auto" w:fill="auto"/>
    </w:rPr>
  </w:style>
  <w:style w:type="character" w:customStyle="1" w:styleId="Heading1Char">
    <w:name w:val="Heading 1 Char"/>
    <w:basedOn w:val="DefaultParagraphFont"/>
    <w:link w:val="Heading1"/>
    <w:uiPriority w:val="9"/>
    <w:rsid w:val="00D230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04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04B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04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04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04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04B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04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04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304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D2304B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04B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04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304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2304B"/>
    <w:rPr>
      <w:b/>
      <w:bCs/>
    </w:rPr>
  </w:style>
  <w:style w:type="character" w:styleId="Emphasis">
    <w:name w:val="Emphasis"/>
    <w:basedOn w:val="DefaultParagraphFont"/>
    <w:uiPriority w:val="20"/>
    <w:qFormat/>
    <w:rsid w:val="00D2304B"/>
    <w:rPr>
      <w:i/>
      <w:iCs/>
    </w:rPr>
  </w:style>
  <w:style w:type="paragraph" w:styleId="NoSpacing">
    <w:name w:val="No Spacing"/>
    <w:uiPriority w:val="1"/>
    <w:qFormat/>
    <w:rsid w:val="00D2304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2304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04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04B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04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2304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304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304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304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2304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304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23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04B"/>
  </w:style>
  <w:style w:type="paragraph" w:styleId="Footer">
    <w:name w:val="footer"/>
    <w:basedOn w:val="Normal"/>
    <w:link w:val="FooterChar"/>
    <w:uiPriority w:val="99"/>
    <w:unhideWhenUsed/>
    <w:rsid w:val="00D23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4pKyhwBq4w&amp;list=PL0u7mzfWrc9fIRUdhDaJEYIgqLC2iPceY" TargetMode="Externa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Royal_Bank_of_Canada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532"/>
    <w:rsid w:val="00335DAE"/>
    <w:rsid w:val="00B00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6151AD76D546FC9DA3188B1C38C7A7">
    <w:name w:val="6B6151AD76D546FC9DA3188B1C38C7A7"/>
    <w:rsid w:val="00B005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Defense Finance and Accounting Services (DFAS)</Company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Cusey, John J CIV DFAS ZTB (US)</dc:creator>
  <cp:keywords/>
  <dc:description/>
  <cp:lastModifiedBy>Cusey, John J CIV DFAS ZTB (US)</cp:lastModifiedBy>
  <cp:revision>10</cp:revision>
  <dcterms:created xsi:type="dcterms:W3CDTF">2018-12-12T12:54:00Z</dcterms:created>
  <dcterms:modified xsi:type="dcterms:W3CDTF">2018-12-12T18:52:00Z</dcterms:modified>
</cp:coreProperties>
</file>