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p>
      <w:pPr>
        <w:pStyle w:val="Heading2"/>
      </w:pPr>
      <w:r>
        <w:t xml:space="preserve">Farm lifecycle archive and restore safeguards — 18 Oct 2026</w:t>
      </w:r>
    </w:p>
    <w:p>
      <w:pPr>
        <w:pStyle w:val="ListParagraph"/>
      </w:pPr>
      <w:r>
        <w:t xml:space="preserve">• Archived farms cannot be edited or receive new FarmRecords through direct API or Intake composite transactions.</w:t>
      </w:r>
    </w:p>
    <w:p>
      <w:pPr>
        <w:pStyle w:val="ListParagraph"/>
      </w:pPr>
      <w:r>
        <w:t xml:space="preserve">• Restore is an atomic archived-to-active transition. Only a row still marked archived can be claimed; stale or concurrent restore attempts create no duplicate active OWNER relationship or RESTORE audit event.</w:t>
      </w:r>
    </w:p>
    <w:p>
      <w:pPr>
        <w:pStyle w:val="ListParagraph"/>
      </w:pPr>
      <w:r>
        <w:t xml:space="preserve">• Switching between active and archived farms immediately reloads the list rather than waiting for periodic refresh.</w:t>
      </w:r>
    </w:p>
    <w:p>
      <w:pPr>
        <w:pStyle w:val="ListParagraph"/>
      </w:pPr>
      <w:r>
        <w:t xml:space="preserve">• Acceptance evidence: FarmsService 45/45; full backend regression 66 suites / 644 tests; backend and frontend production builds pass; authenticated archive/restore browser journey passes 1/1; full frontend Playwright suite passes 19/19.</w:t>
      </w:r>
    </w:p>
    <w:p>
      <w:pPr>
        <w:pStyle w:val="ListParagraph"/>
      </w:pPr>
      <w:r>
        <w:t xml:space="preserve">• These safeguards use existing Registry validation, AuthorizationService decisions, temporal ownership relationships and audit history. No schema migration, hard deletion or database reset was required.</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