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p>
      <w:pPr>
        <w:pStyle w:val="Heading1"/>
      </w:pPr>
      <w:r>
        <w:t>AI PLATFORM CONTROL PLANE — CANONICAL REGISTRY AND CENTRAL FILE GOVERNANCE</w:t>
      </w:r>
    </w:p>
    <w:p>
      <w:r>
        <w:t>Status: first read-only AI control-plane slice verified. Backend build and focused AI tests (12/12) pass; frontend production build passes; API/UI health return HTTP 200; protected inventory route is registered; eight AI governance domains are seeded. Governed file editing remains the next implementation gate. This section extends the existing product master baseline and does not replace earlier product requirements.</w:t>
      </w:r>
    </w:p>
    <w:p>
      <w:pPr>
        <w:pStyle w:val="Heading2"/>
      </w:pPr>
      <w:r>
        <w:t>Single entrypoint and maximum reuse</w:t>
      </w:r>
    </w:p>
    <w:p>
      <w:r>
        <w:t>KrishiKendram shall maintain one canonical AI control-plane entrypoint at ai/registry/ai-platform-registry.json (KK-AI-REGISTRY-001). Its application-wide path is registered in backend/config/resource-paths.json. Shared capabilities, context and conversation policies, provider safety constraints, provenance, confirmation, audit requirements and God Mode governance are defined once and reused; module code must not create competing AI registries or copy shared rules.</w:t>
      </w:r>
    </w:p>
    <w:p>
      <w:pPr>
        <w:pStyle w:val="Heading2"/>
      </w:pPr>
      <w:r>
        <w:t>Centrally stored module contracts</w:t>
      </w:r>
    </w:p>
    <w:p>
      <w:r>
        <w:t>Module-specific contracts are stored centrally under ai/modules/ and linked by stable module ID from the root manifest. Initial contracts cover users, farms, crops, livestock and marketplace. This preserves module ownership without scattering configuration across feature folders. Backend startup validates linked files and contract identity before hydrating them for shared policy enforcement.</w:t>
      </w:r>
    </w:p>
    <w:p>
      <w:pPr>
        <w:pStyle w:val="Heading2"/>
      </w:pPr>
      <w:r>
        <w:t>Registered inventories and God Mode ownership</w:t>
      </w:r>
    </w:p>
    <w:p>
      <w:r>
        <w:t>The root manifest links ai/providers/provider-inventory.json, ai/runtimes/runtime-inventory.json, ai/policies/ai-policy-index.json, ai/evaluations/evaluation-index.json and the governing AI documents. God Mode is the operational control surface for provider/model inventory and sources, installed/runtime paths, configuration variables and secret references, language/quality, data classification and consent, cost and scale, action permissions, approvals, health, audit, snapshots and rollback. Secrets themselves must never be stored in registry JSON.</w:t>
      </w:r>
    </w:p>
    <w:p>
      <w:pPr>
        <w:pStyle w:val="Heading2"/>
      </w:pPr>
      <w:r>
        <w:t>Safety and delivery gates</w:t>
      </w:r>
    </w:p>
    <w:p>
      <w:r>
        <w:t>AI cannot directly write canonical database records. Proposed changes must be authorized, centrally validated, previewed and explicitly confirmed, then applied by the normal backend domain service with provenance and audit. Configuration changes must use the existing God Configuration Registry and its dependency analysis, pre-change snapshots, health checks and rollback. Registry files alone do not mean a provider is installed, connected, healthy or production-ready.</w:t>
      </w:r>
    </w:p>
    <w:p>
      <w:r>
        <w:t>Implementation sequence: verify backend build and registry tests; expose read-only inventories and health in God Mode; implement governed editing with existing authorization/snapshot/audit/rollback; add provider discovery and runtime probes; add evaluation and cost/scale governance; integrate voice-guided validated drafts with forms; then implement authenticated cross-device conversation sessions.</w:t>
      </w:r>
    </w:p>
    <w:p>
      <w:r>
        <w:t>Related implementation documents: docs/CTO-EXECUTION-BIBLE.md, docs/CTO-MASTER-BLUEPRINT.md, docs/CTO-ENHANCEMENT-REGISTER.md, docs/KK-AI-PLATFORM-REGISTRY.md, docs/KK-AI-CONVERSATION-AND-CONTEXT.md and docs/AI-VOICE-PLATFORM-AND-GOVERNANCE.md.</w:t>
      </w:r>
    </w:p>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God Mode — Authoritative Administration Control Plane</w:t>
      </w:r>
    </w:p>
    <w:p>
      <w:r>
        <w:t>Architecture baseline: 2026-10-04. Canonical detailed architecture: docs/GOD-MODE-ARCHITECTURE.md. God Mode is the authoritative administrative root for KrishiKendram and must control rather than merely display system truth.</w:t>
      </w:r>
    </w:p>
    <w:p>
      <w:r>
        <w:t>Governed domains</w:t>
      </w:r>
    </w:p>
    <w:p>
      <w:r>
        <w:t>System Truth &amp; Configuration; Runtime &amp; Application; Database &amp; Connections; Docker / Infrastructure; Modules &amp; Registry; Resources &amp; Capabilities; Fields &amp; Validation; Roles &amp; Authorization; Users &amp; Lifecycle; Navigation; Themes; Feature Flags; Security; Approval Workflows; Credentials; Audit &amp; History; Snapshots &amp; Recovery; Routes/API Diagnostics; System Diagnostics; Dependency Graph.</w:t>
      </w:r>
    </w:p>
    <w:p>
      <w:r>
        <w:t>Authority and safety contract</w:t>
      </w:r>
    </w:p>
    <w:p>
      <w:r>
        <w:t>God defines delegated Super Admin, Admin and Cluster Head capabilities. Backend authorization remains authoritative. Significant changes follow validate → dependency analysis → snapshot → apply → health-check → audit. Recovery is reversible. Canonical repository: /home/jj/Dev/KrishiKendram. D:\Dev\KrishiKendram is not an active source tree. Root Node credential artifacts are rootnodepass.txt and rootnodepass.kkt under backend/config/god-mode/ and values remain outside Git.</w:t>
      </w:r>
    </w:p>
    <w:p>
      <w:r>
        <w:t>Implementation principle</w:t>
      </w:r>
    </w:p>
    <w:p>
      <w:r>
        <w:t>Future platform administration should be exposed through the canonical God Configuration Registry so required administrative changes do not require source-code editing or scattered backend modifications.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sectPr w:rsidR="00BB26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