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63426B">
      <w:pPr>
        <w:pStyle w:val="15"/>
        <w:widowControl/>
        <w:rPr>
          <w:b/>
          <w:bCs/>
          <w:sz w:val="36"/>
          <w:u w:val="none"/>
        </w:rPr>
      </w:pPr>
      <w:r>
        <w:rPr>
          <w:rFonts w:hint="eastAsia" w:eastAsia="宋体"/>
          <w:b/>
          <w:bCs/>
          <w:sz w:val="36"/>
          <w:u w:val="none"/>
          <w:lang w:eastAsia="zh-CN"/>
        </w:rPr>
        <w:drawing>
          <wp:inline distT="0" distB="0" distL="114300" distR="114300">
            <wp:extent cx="1290955" cy="1510665"/>
            <wp:effectExtent l="0" t="0" r="0" b="0"/>
            <wp:docPr id="7" name="图片 7" descr="image_050113776092625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age_050113776092625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90955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99D2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eastAsia="黑体"/>
          <w:b/>
          <w:bCs/>
          <w:sz w:val="36"/>
          <w:u w:val="none"/>
        </w:rPr>
      </w:pPr>
      <w:r>
        <w:rPr>
          <w:rFonts w:eastAsia="黑体"/>
          <w:b/>
          <w:bCs/>
          <w:sz w:val="36"/>
          <w:u w:val="none"/>
        </w:rPr>
        <w:t>“启元农链”——AI+区块链驱动的农产品全生命周期可信溯源平台</w:t>
      </w:r>
    </w:p>
    <w:p w14:paraId="467BA3B5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eastAsia="黑体"/>
          <w:b/>
          <w:bCs w:val="0"/>
          <w:sz w:val="36"/>
          <w:u w:val="none"/>
          <w:lang w:val="en-US" w:eastAsia="zh-CN"/>
        </w:rPr>
      </w:pPr>
      <w:r>
        <w:rPr>
          <w:rFonts w:hint="eastAsia" w:eastAsia="黑体"/>
          <w:b/>
          <w:bCs w:val="0"/>
          <w:sz w:val="36"/>
          <w:u w:val="none"/>
          <w:lang w:val="en-US" w:eastAsia="zh-CN"/>
        </w:rPr>
        <w:t>商</w:t>
      </w:r>
    </w:p>
    <w:p w14:paraId="246F26D7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eastAsia="黑体"/>
          <w:b/>
          <w:bCs w:val="0"/>
          <w:sz w:val="36"/>
          <w:u w:val="none"/>
          <w:lang w:val="en-US" w:eastAsia="zh-CN"/>
        </w:rPr>
      </w:pPr>
      <w:r>
        <w:rPr>
          <w:rFonts w:hint="eastAsia" w:eastAsia="黑体"/>
          <w:b/>
          <w:bCs w:val="0"/>
          <w:sz w:val="36"/>
          <w:u w:val="none"/>
          <w:lang w:val="en-US" w:eastAsia="zh-CN"/>
        </w:rPr>
        <w:t>业</w:t>
      </w:r>
    </w:p>
    <w:p w14:paraId="3CCBDE10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eastAsia="黑体"/>
          <w:b/>
          <w:bCs w:val="0"/>
          <w:sz w:val="36"/>
          <w:u w:val="none"/>
          <w:lang w:val="en-US" w:eastAsia="zh-CN"/>
        </w:rPr>
      </w:pPr>
      <w:r>
        <w:rPr>
          <w:rFonts w:hint="eastAsia" w:eastAsia="黑体"/>
          <w:b/>
          <w:bCs w:val="0"/>
          <w:sz w:val="36"/>
          <w:u w:val="none"/>
          <w:lang w:val="en-US" w:eastAsia="zh-CN"/>
        </w:rPr>
        <w:t>计</w:t>
      </w:r>
    </w:p>
    <w:p w14:paraId="65487B5E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eastAsia="黑体"/>
          <w:b/>
          <w:bCs w:val="0"/>
          <w:sz w:val="36"/>
          <w:u w:val="none"/>
          <w:lang w:val="en-US" w:eastAsia="zh-CN"/>
        </w:rPr>
      </w:pPr>
      <w:bookmarkStart w:id="36" w:name="_GoBack"/>
      <w:bookmarkEnd w:id="36"/>
      <w:r>
        <w:rPr>
          <w:rFonts w:hint="eastAsia" w:eastAsia="黑体"/>
          <w:b/>
          <w:bCs w:val="0"/>
          <w:sz w:val="36"/>
          <w:u w:val="none"/>
          <w:lang w:val="en-US" w:eastAsia="zh-CN"/>
        </w:rPr>
        <w:t>划</w:t>
      </w:r>
    </w:p>
    <w:p w14:paraId="7103BE8C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eastAsia="黑体"/>
          <w:b/>
          <w:bCs w:val="0"/>
          <w:sz w:val="36"/>
          <w:u w:val="none"/>
        </w:rPr>
      </w:pPr>
      <w:r>
        <w:rPr>
          <w:rFonts w:eastAsia="黑体"/>
          <w:b/>
          <w:bCs w:val="0"/>
          <w:sz w:val="36"/>
          <w:u w:val="none"/>
        </w:rPr>
        <w:t>书</w:t>
      </w:r>
    </w:p>
    <w:p w14:paraId="21A507E1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084" w:firstLineChars="300"/>
        <w:jc w:val="both"/>
        <w:textAlignment w:val="auto"/>
        <w:rPr>
          <w:rFonts w:hint="eastAsia" w:eastAsia="宋体"/>
          <w:b/>
          <w:sz w:val="28"/>
          <w:u w:val="none"/>
          <w:lang w:val="en-US" w:eastAsia="zh-CN"/>
        </w:rPr>
      </w:pPr>
      <w:r>
        <w:rPr>
          <w:b/>
          <w:sz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1616075</wp:posOffset>
                </wp:positionH>
                <wp:positionV relativeFrom="paragraph">
                  <wp:posOffset>234315</wp:posOffset>
                </wp:positionV>
                <wp:extent cx="2496185" cy="0"/>
                <wp:effectExtent l="0" t="6350" r="5715" b="635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961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7.25pt;margin-top:18.45pt;height:0pt;width:196.55pt;z-index:251662336;mso-width-relative:page;mso-height-relative:page;" filled="f" stroked="t" coordsize="21600,21600" o:gfxdata="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nSLDg2QAA&#10;AAkBAAAPAAAAAAAAAAEAIAAAACIAAABkcnMvZG93bnJldi54bWxQSwECFAAUAAAACACHTuJA0Qj+&#10;C+QBAACyAwAADgAAAAAAAAABACAAAAAoAQAAZHJzL2Uyb0RvYy54bWxQSwUGAAAAAAYABgBZAQAA&#10;fg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sz w:val="28"/>
          <w:u w:val="none"/>
          <w:lang w:val="en-US" w:eastAsia="zh-CN"/>
        </w:rPr>
        <w:t>团队名称</w:t>
      </w:r>
    </w:p>
    <w:p w14:paraId="70BE83C3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eastAsia="宋体"/>
          <w:b/>
          <w:sz w:val="28"/>
          <w:u w:val="none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1701165</wp:posOffset>
                </wp:positionH>
                <wp:positionV relativeFrom="paragraph">
                  <wp:posOffset>228600</wp:posOffset>
                </wp:positionV>
                <wp:extent cx="2496185" cy="0"/>
                <wp:effectExtent l="0" t="6350" r="5715" b="635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961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3.95pt;margin-top:18pt;height:0pt;width:196.55pt;z-index:251661312;mso-width-relative:page;mso-height-relative:page;" filled="f" stroked="t" coordsize="21600,21600" o:gfxdata="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DmnyDnYAAAA&#10;CQEAAA8AAAAAAAAAAQAgAAAAIgAAAGRycy9kb3ducmV2LnhtbFBLAQIUABQAAAAIAIdO4kDHhYsA&#10;5AEAALIDAAAOAAAAAAAAAAEAIAAAACcBAABkcnMvZTJvRG9jLnhtbFBLBQYAAAAABgAGAFkBAAB9&#10;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sz w:val="28"/>
          <w:u w:val="none"/>
          <w:lang w:val="en-US" w:eastAsia="zh-CN"/>
        </w:rPr>
        <w:t xml:space="preserve">             </w:t>
      </w:r>
      <w:r>
        <w:rPr>
          <w:rFonts w:hint="eastAsia"/>
          <w:b/>
          <w:sz w:val="36"/>
          <w:u w:val="none"/>
          <w:lang w:val="en-US" w:eastAsia="zh-CN"/>
        </w:rPr>
        <w:t xml:space="preserve">  </w:t>
      </w:r>
      <w:r>
        <w:rPr>
          <w:rFonts w:hint="eastAsia"/>
          <w:b/>
          <w:sz w:val="28"/>
          <w:u w:val="none"/>
          <w:lang w:val="en-US" w:eastAsia="zh-CN"/>
        </w:rPr>
        <w:t xml:space="preserve">项目负责人  </w:t>
      </w:r>
    </w:p>
    <w:p w14:paraId="70605368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124" w:firstLineChars="400"/>
        <w:jc w:val="both"/>
        <w:textAlignment w:val="auto"/>
        <w:rPr>
          <w:rFonts w:hint="default" w:eastAsia="宋体"/>
          <w:b/>
          <w:sz w:val="28"/>
          <w:u w:val="none"/>
          <w:lang w:val="en-US" w:eastAsia="zh-CN"/>
        </w:rPr>
      </w:pPr>
      <w:r>
        <w:rPr>
          <w:b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1530985</wp:posOffset>
                </wp:positionH>
                <wp:positionV relativeFrom="paragraph">
                  <wp:posOffset>202565</wp:posOffset>
                </wp:positionV>
                <wp:extent cx="2496185" cy="0"/>
                <wp:effectExtent l="0" t="6350" r="5715" b="635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961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0.55pt;margin-top:15.95pt;height:0pt;width:196.55pt;z-index:251663360;mso-width-relative:page;mso-height-relative:page;" filled="f" stroked="t" coordsize="21600,21600" o:gfxdata="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UBsLM9gAAAAJ&#10;AQAADwAAAAAAAAABACAAAAAiAAAAZHJzL2Rvd25yZXYueG1sUEsBAhQAFAAAAAgAh07iQFI3Xp3j&#10;AQAAsgMAAA4AAAAAAAAAAQAgAAAAJwEAAGRycy9lMm9Eb2MueG1sUEsFBgAAAAAGAAYAWQEAAHwF&#10;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sz w:val="28"/>
          <w:u w:val="none"/>
          <w:lang w:val="en-US" w:eastAsia="zh-CN"/>
        </w:rPr>
        <w:t xml:space="preserve">所在学院 </w:t>
      </w:r>
    </w:p>
    <w:p w14:paraId="74B69FE4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124" w:firstLineChars="400"/>
        <w:jc w:val="both"/>
        <w:textAlignment w:val="auto"/>
        <w:rPr>
          <w:rFonts w:hint="eastAsia" w:eastAsia="宋体"/>
          <w:b/>
          <w:sz w:val="28"/>
          <w:u w:val="none"/>
          <w:lang w:val="en-US" w:eastAsia="zh-CN"/>
        </w:rPr>
      </w:pPr>
      <w:r>
        <w:rPr>
          <w:b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1733550</wp:posOffset>
                </wp:positionH>
                <wp:positionV relativeFrom="paragraph">
                  <wp:posOffset>207645</wp:posOffset>
                </wp:positionV>
                <wp:extent cx="2496185" cy="0"/>
                <wp:effectExtent l="0" t="6350" r="5715" b="635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774315" y="4675505"/>
                          <a:ext cx="24961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6.5pt;margin-top:16.35pt;height:0pt;width:196.55pt;z-index:251659264;mso-width-relative:page;mso-height-relative:page;" filled="f" stroked="t" coordsize="21600,21600" o:gfxdata="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vJdnWdkAAAAJAQAADwAAAAAAAAABACAAAAAiAAAAZHJzL2Rvd25yZXYueG1sUEsBAhQA&#10;FAAAAAgAh07iQDvtZkbxAQAAvgMAAA4AAAAAAAAAAQAgAAAAKAEAAGRycy9lMm9Eb2MueG1sUEsF&#10;BgAAAAAGAAYAWQEAAIs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sz w:val="28"/>
          <w:u w:val="none"/>
          <w:lang w:val="en-US" w:eastAsia="zh-CN"/>
        </w:rPr>
        <w:t>项目参与人</w:t>
      </w:r>
    </w:p>
    <w:p w14:paraId="6270C688">
      <w:pPr>
        <w:pStyle w:val="15"/>
        <w:widowControl/>
        <w:ind w:firstLine="1124" w:firstLineChars="400"/>
        <w:jc w:val="both"/>
        <w:rPr>
          <w:rFonts w:hint="eastAsia" w:eastAsia="宋体"/>
          <w:b/>
          <w:sz w:val="28"/>
          <w:u w:val="none"/>
          <w:lang w:val="en-US" w:eastAsia="zh-CN"/>
        </w:rPr>
      </w:pPr>
      <w:r>
        <w:rPr>
          <w:b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1510665</wp:posOffset>
                </wp:positionH>
                <wp:positionV relativeFrom="paragraph">
                  <wp:posOffset>196215</wp:posOffset>
                </wp:positionV>
                <wp:extent cx="2496185" cy="0"/>
                <wp:effectExtent l="0" t="6350" r="5715" b="635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961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8.95pt;margin-top:15.45pt;height:0pt;width:196.55pt;z-index:251660288;mso-width-relative:page;mso-height-relative:page;" filled="f" stroked="t" coordsize="21600,21600" o:gfxdata="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h9E1d2AAA&#10;AAkBAAAPAAAAAAAAAAEAIAAAACIAAABkcnMvZG93bnJldi54bWxQSwECFAAUAAAACACHTuJACgOI&#10;sOUBAACyAwAADgAAAAAAAAABACAAAAAnAQAAZHJzL2Uyb0RvYy54bWxQSwUGAAAAAAYABgBZAQAA&#10;fg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sz w:val="28"/>
          <w:u w:val="none"/>
          <w:lang w:val="en-US" w:eastAsia="zh-CN"/>
        </w:rPr>
        <w:t>指导老师</w:t>
      </w:r>
    </w:p>
    <w:p w14:paraId="0D76C9DA">
      <w:pPr>
        <w:pStyle w:val="15"/>
        <w:widowControl/>
        <w:rPr>
          <w:b/>
          <w:sz w:val="28"/>
          <w:u w:val="none"/>
        </w:rPr>
      </w:pPr>
    </w:p>
    <w:p w14:paraId="09CED73E">
      <w:pPr>
        <w:pStyle w:val="15"/>
        <w:widowControl/>
        <w:jc w:val="center"/>
        <w:rPr>
          <w:rFonts w:hint="eastAsia" w:eastAsia="黑体"/>
          <w:b/>
          <w:sz w:val="44"/>
          <w:u w:val="none"/>
          <w:lang w:val="en-US" w:eastAsia="zh-CN"/>
        </w:rPr>
      </w:pPr>
    </w:p>
    <w:p w14:paraId="788C9091">
      <w:pPr>
        <w:pStyle w:val="15"/>
        <w:widowControl/>
        <w:jc w:val="center"/>
        <w:rPr>
          <w:rFonts w:hint="eastAsia" w:eastAsia="黑体"/>
          <w:b/>
          <w:sz w:val="44"/>
          <w:u w:val="none"/>
          <w:lang w:val="en-US" w:eastAsia="zh-CN"/>
        </w:rPr>
      </w:pPr>
      <w:r>
        <w:rPr>
          <w:rFonts w:hint="eastAsia" w:eastAsia="黑体"/>
          <w:b/>
          <w:sz w:val="44"/>
          <w:u w:val="none"/>
          <w:lang w:val="en-US" w:eastAsia="zh-CN"/>
        </w:rPr>
        <w:t>目录</w:t>
      </w:r>
    </w:p>
    <w:sdt>
      <w:sdtPr>
        <w:rPr>
          <w:rFonts w:ascii="宋体" w:hAnsi="宋体" w:eastAsia="宋体"/>
          <w:sz w:val="21"/>
          <w:szCs w:val="22"/>
        </w:rPr>
        <w:id w:val="147460477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/>
          <w:sz w:val="32"/>
          <w:szCs w:val="22"/>
          <w:u w:val="none"/>
        </w:rPr>
      </w:sdtEndPr>
      <w:sdtContent>
        <w:p w14:paraId="1B2BC50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70F824A3">
          <w:pPr>
            <w:pStyle w:val="12"/>
            <w:tabs>
              <w:tab w:val="right" w:leader="middleDot" w:pos="9065"/>
            </w:tabs>
          </w:pPr>
          <w:r>
            <w:rPr>
              <w:b/>
              <w:sz w:val="28"/>
              <w:u w:val="none"/>
            </w:rPr>
            <w:fldChar w:fldCharType="begin"/>
          </w:r>
          <w:r>
            <w:rPr>
              <w:b/>
              <w:sz w:val="28"/>
              <w:u w:val="none"/>
            </w:rPr>
            <w:instrText xml:space="preserve">TOC \o "1-2" \h \u </w:instrText>
          </w:r>
          <w:r>
            <w:rPr>
              <w:b/>
              <w:sz w:val="28"/>
              <w:u w:val="none"/>
            </w:rPr>
            <w:fldChar w:fldCharType="separate"/>
          </w:r>
          <w:r>
            <w:rPr>
              <w:u w:val="none"/>
            </w:rPr>
            <w:fldChar w:fldCharType="begin"/>
          </w:r>
          <w:r>
            <w:instrText xml:space="preserve"> HYPERLINK \l _Toc13514 </w:instrText>
          </w:r>
          <w:r>
            <w:fldChar w:fldCharType="separate"/>
          </w:r>
          <w:r>
            <w:rPr>
              <w:rFonts w:hint="eastAsia"/>
            </w:rPr>
            <w:t xml:space="preserve">一、 </w:t>
          </w:r>
          <w:r>
            <w:t>执行摘要</w:t>
          </w:r>
          <w:r>
            <w:tab/>
          </w:r>
          <w:r>
            <w:fldChar w:fldCharType="begin"/>
          </w:r>
          <w:r>
            <w:instrText xml:space="preserve"> PAGEREF _Toc13514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3EB15FA0">
          <w:pPr>
            <w:pStyle w:val="14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_Toc10328 </w:instrText>
          </w:r>
          <w:r>
            <w:fldChar w:fldCharType="separate"/>
          </w:r>
          <w:r>
            <w:rPr>
              <w:rFonts w:hint="eastAsia"/>
            </w:rPr>
            <w:t xml:space="preserve">（一） </w:t>
          </w:r>
          <w:r>
            <w:t>项目背景与使命</w:t>
          </w:r>
          <w:r>
            <w:tab/>
          </w:r>
          <w:r>
            <w:fldChar w:fldCharType="begin"/>
          </w:r>
          <w:r>
            <w:instrText xml:space="preserve"> PAGEREF _Toc10328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406D1AC8">
          <w:pPr>
            <w:pStyle w:val="14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_Toc15994 </w:instrText>
          </w:r>
          <w:r>
            <w:fldChar w:fldCharType="separate"/>
          </w:r>
          <w:r>
            <w:rPr>
              <w:rFonts w:hint="eastAsia"/>
            </w:rPr>
            <w:t xml:space="preserve">（二） </w:t>
          </w:r>
          <w:r>
            <w:t>核心痛点与解决方案</w:t>
          </w:r>
          <w:r>
            <w:tab/>
          </w:r>
          <w:r>
            <w:fldChar w:fldCharType="begin"/>
          </w:r>
          <w:r>
            <w:instrText xml:space="preserve"> PAGEREF _Toc15994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6A139919">
          <w:pPr>
            <w:pStyle w:val="14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_Toc24934 </w:instrText>
          </w:r>
          <w:r>
            <w:fldChar w:fldCharType="separate"/>
          </w:r>
          <w:r>
            <w:rPr>
              <w:rFonts w:hint="eastAsia"/>
            </w:rPr>
            <w:t xml:space="preserve">（三） </w:t>
          </w:r>
          <w:r>
            <w:t>项目愿景与目标</w:t>
          </w:r>
          <w:r>
            <w:tab/>
          </w:r>
          <w:r>
            <w:fldChar w:fldCharType="begin"/>
          </w:r>
          <w:r>
            <w:instrText xml:space="preserve"> PAGEREF _Toc24934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77866CC1">
          <w:pPr>
            <w:pStyle w:val="12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_Toc24989 </w:instrText>
          </w:r>
          <w:r>
            <w:fldChar w:fldCharType="separate"/>
          </w:r>
          <w:r>
            <w:rPr>
              <w:rFonts w:hint="eastAsia"/>
            </w:rPr>
            <w:t xml:space="preserve">二、 </w:t>
          </w:r>
          <w:r>
            <w:t>市场分析</w:t>
          </w:r>
          <w:r>
            <w:tab/>
          </w:r>
          <w:r>
            <w:fldChar w:fldCharType="begin"/>
          </w:r>
          <w:r>
            <w:instrText xml:space="preserve"> PAGEREF _Toc24989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6B09FD69">
          <w:pPr>
            <w:pStyle w:val="14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_Toc6964 </w:instrText>
          </w:r>
          <w:r>
            <w:fldChar w:fldCharType="separate"/>
          </w:r>
          <w:r>
            <w:rPr>
              <w:rFonts w:hint="eastAsia"/>
            </w:rPr>
            <w:t xml:space="preserve">（一） </w:t>
          </w:r>
          <w:r>
            <w:t>宏观环境分析</w:t>
          </w:r>
          <w:r>
            <w:tab/>
          </w:r>
          <w:r>
            <w:fldChar w:fldCharType="begin"/>
          </w:r>
          <w:r>
            <w:instrText xml:space="preserve"> PAGEREF _Toc6964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7B6DB41F">
          <w:pPr>
            <w:pStyle w:val="14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_Toc8230 </w:instrText>
          </w:r>
          <w:r>
            <w:fldChar w:fldCharType="separate"/>
          </w:r>
          <w:r>
            <w:rPr>
              <w:rFonts w:hint="eastAsia"/>
            </w:rPr>
            <w:t xml:space="preserve">（二） </w:t>
          </w:r>
          <w:r>
            <w:t>市场规模与增长潜力</w:t>
          </w:r>
          <w:r>
            <w:tab/>
          </w:r>
          <w:r>
            <w:fldChar w:fldCharType="begin"/>
          </w:r>
          <w:r>
            <w:instrText xml:space="preserve"> PAGEREF _Toc8230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7CA9E188">
          <w:pPr>
            <w:pStyle w:val="14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_Toc6873 </w:instrText>
          </w:r>
          <w:r>
            <w:fldChar w:fldCharType="separate"/>
          </w:r>
          <w:r>
            <w:rPr>
              <w:rFonts w:hint="eastAsia"/>
            </w:rPr>
            <w:t xml:space="preserve">（三） </w:t>
          </w:r>
          <w:r>
            <w:t>竞争格局分析</w:t>
          </w:r>
          <w:r>
            <w:tab/>
          </w:r>
          <w:r>
            <w:fldChar w:fldCharType="begin"/>
          </w:r>
          <w:r>
            <w:instrText xml:space="preserve"> PAGEREF _Toc6873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38D6DD47">
          <w:pPr>
            <w:pStyle w:val="12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_Toc29209 </w:instrText>
          </w:r>
          <w:r>
            <w:fldChar w:fldCharType="separate"/>
          </w:r>
          <w:r>
            <w:rPr>
              <w:rFonts w:hint="eastAsia"/>
            </w:rPr>
            <w:t xml:space="preserve">三、 </w:t>
          </w:r>
          <w:r>
            <w:t>产品与技术方案</w:t>
          </w:r>
          <w:r>
            <w:tab/>
          </w:r>
          <w:r>
            <w:fldChar w:fldCharType="begin"/>
          </w:r>
          <w:r>
            <w:instrText xml:space="preserve"> PAGEREF _Toc29209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767B39A6">
          <w:pPr>
            <w:pStyle w:val="14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_Toc10883 </w:instrText>
          </w:r>
          <w:r>
            <w:fldChar w:fldCharType="separate"/>
          </w:r>
          <w:r>
            <w:rPr>
              <w:rFonts w:hint="eastAsia"/>
            </w:rPr>
            <w:t xml:space="preserve">（一） </w:t>
          </w:r>
          <w:r>
            <w:t>总体架构设计</w:t>
          </w:r>
          <w:r>
            <w:tab/>
          </w:r>
          <w:r>
            <w:fldChar w:fldCharType="begin"/>
          </w:r>
          <w:r>
            <w:instrText xml:space="preserve"> PAGEREF _Toc10883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4AE5D732">
          <w:pPr>
            <w:pStyle w:val="14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_Toc18998 </w:instrText>
          </w:r>
          <w:r>
            <w:fldChar w:fldCharType="separate"/>
          </w:r>
          <w:r>
            <w:rPr>
              <w:rFonts w:hint="eastAsia"/>
            </w:rPr>
            <w:t xml:space="preserve">（二） </w:t>
          </w:r>
          <w:r>
            <w:t>核心功能模块</w:t>
          </w:r>
          <w:r>
            <w:tab/>
          </w:r>
          <w:r>
            <w:fldChar w:fldCharType="begin"/>
          </w:r>
          <w:r>
            <w:instrText xml:space="preserve"> PAGEREF _Toc18998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311E73F1">
          <w:pPr>
            <w:pStyle w:val="14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_Toc17913 </w:instrText>
          </w:r>
          <w:r>
            <w:fldChar w:fldCharType="separate"/>
          </w:r>
          <w:r>
            <w:rPr>
              <w:rFonts w:hint="eastAsia"/>
            </w:rPr>
            <w:t xml:space="preserve">（三） </w:t>
          </w:r>
          <w:r>
            <w:t>技术创新点</w:t>
          </w:r>
          <w:r>
            <w:tab/>
          </w:r>
          <w:r>
            <w:fldChar w:fldCharType="begin"/>
          </w:r>
          <w:r>
            <w:instrText xml:space="preserve"> PAGEREF _Toc17913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1A7963D3">
          <w:pPr>
            <w:pStyle w:val="12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_Toc24847 </w:instrText>
          </w:r>
          <w:r>
            <w:fldChar w:fldCharType="separate"/>
          </w:r>
          <w:r>
            <w:rPr>
              <w:rFonts w:hint="eastAsia"/>
            </w:rPr>
            <w:t xml:space="preserve">四、 </w:t>
          </w:r>
          <w:r>
            <w:t>商业模式与盈利路径</w:t>
          </w:r>
          <w:r>
            <w:tab/>
          </w:r>
          <w:r>
            <w:fldChar w:fldCharType="begin"/>
          </w:r>
          <w:r>
            <w:instrText xml:space="preserve"> PAGEREF _Toc24847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30855A96">
          <w:pPr>
            <w:pStyle w:val="14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_Toc18400 </w:instrText>
          </w:r>
          <w:r>
            <w:fldChar w:fldCharType="separate"/>
          </w:r>
          <w:r>
            <w:rPr>
              <w:rFonts w:hint="eastAsia"/>
            </w:rPr>
            <w:t xml:space="preserve">（一） </w:t>
          </w:r>
          <w:r>
            <w:t>商业模式画布</w:t>
          </w:r>
          <w:r>
            <w:tab/>
          </w:r>
          <w:r>
            <w:fldChar w:fldCharType="begin"/>
          </w:r>
          <w:r>
            <w:instrText xml:space="preserve"> PAGEREF _Toc18400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400F2A45">
          <w:pPr>
            <w:pStyle w:val="14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_Toc419 </w:instrText>
          </w:r>
          <w:r>
            <w:fldChar w:fldCharType="separate"/>
          </w:r>
          <w:r>
            <w:rPr>
              <w:rFonts w:hint="eastAsia"/>
            </w:rPr>
            <w:t xml:space="preserve">（二） </w:t>
          </w:r>
          <w:r>
            <w:t>盈利路径规划</w:t>
          </w:r>
          <w:r>
            <w:tab/>
          </w:r>
          <w:r>
            <w:fldChar w:fldCharType="begin"/>
          </w:r>
          <w:r>
            <w:instrText xml:space="preserve"> PAGEREF _Toc419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6CC9B626">
          <w:pPr>
            <w:pStyle w:val="12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_Toc1636 </w:instrText>
          </w:r>
          <w:r>
            <w:fldChar w:fldCharType="separate"/>
          </w:r>
          <w:r>
            <w:rPr>
              <w:rFonts w:hint="eastAsia"/>
            </w:rPr>
            <w:t xml:space="preserve">五、 </w:t>
          </w:r>
          <w:r>
            <w:t>项目实施计划</w:t>
          </w:r>
          <w:r>
            <w:tab/>
          </w:r>
          <w:r>
            <w:fldChar w:fldCharType="begin"/>
          </w:r>
          <w:r>
            <w:instrText xml:space="preserve"> PAGEREF _Toc1636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7A1B57E1">
          <w:pPr>
            <w:pStyle w:val="14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_Toc11253 </w:instrText>
          </w:r>
          <w:r>
            <w:fldChar w:fldCharType="separate"/>
          </w:r>
          <w:r>
            <w:rPr>
              <w:rFonts w:hint="eastAsia"/>
            </w:rPr>
            <w:t xml:space="preserve">（一） </w:t>
          </w:r>
          <w:r>
            <w:t>项目阶段划分</w:t>
          </w:r>
          <w:r>
            <w:tab/>
          </w:r>
          <w:r>
            <w:fldChar w:fldCharType="begin"/>
          </w:r>
          <w:r>
            <w:instrText xml:space="preserve"> PAGEREF _Toc11253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247D663F">
          <w:pPr>
            <w:pStyle w:val="14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_Toc504 </w:instrText>
          </w:r>
          <w:r>
            <w:fldChar w:fldCharType="separate"/>
          </w:r>
          <w:r>
            <w:rPr>
              <w:rFonts w:hint="eastAsia"/>
            </w:rPr>
            <w:t xml:space="preserve">（二） </w:t>
          </w:r>
          <w:r>
            <w:t>关键里程碑</w:t>
          </w:r>
          <w:r>
            <w:tab/>
          </w:r>
          <w:r>
            <w:fldChar w:fldCharType="begin"/>
          </w:r>
          <w:r>
            <w:instrText xml:space="preserve"> PAGEREF _Toc504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33C758E0">
          <w:pPr>
            <w:pStyle w:val="12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_Toc17721 </w:instrText>
          </w:r>
          <w:r>
            <w:fldChar w:fldCharType="separate"/>
          </w:r>
          <w:r>
            <w:rPr>
              <w:rFonts w:hint="eastAsia"/>
            </w:rPr>
            <w:t xml:space="preserve">六、 </w:t>
          </w:r>
          <w:r>
            <w:t>团队组织与管理</w:t>
          </w:r>
          <w:r>
            <w:tab/>
          </w:r>
          <w:r>
            <w:fldChar w:fldCharType="begin"/>
          </w:r>
          <w:r>
            <w:instrText xml:space="preserve"> PAGEREF _Toc17721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2F4241A1">
          <w:pPr>
            <w:pStyle w:val="14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_Toc8009 </w:instrText>
          </w:r>
          <w:r>
            <w:fldChar w:fldCharType="separate"/>
          </w:r>
          <w:r>
            <w:rPr>
              <w:rFonts w:hint="eastAsia"/>
            </w:rPr>
            <w:t xml:space="preserve">（一） </w:t>
          </w:r>
          <w:r>
            <w:t>核心团队介绍</w:t>
          </w:r>
          <w:r>
            <w:tab/>
          </w:r>
          <w:r>
            <w:fldChar w:fldCharType="begin"/>
          </w:r>
          <w:r>
            <w:instrText xml:space="preserve"> PAGEREF _Toc8009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68409C39">
          <w:pPr>
            <w:pStyle w:val="14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_Toc2700 </w:instrText>
          </w:r>
          <w:r>
            <w:fldChar w:fldCharType="separate"/>
          </w:r>
          <w:r>
            <w:rPr>
              <w:rFonts w:hint="eastAsia"/>
            </w:rPr>
            <w:t xml:space="preserve">（二） </w:t>
          </w:r>
          <w:r>
            <w:t>组织架构</w:t>
          </w:r>
          <w:r>
            <w:tab/>
          </w:r>
          <w:r>
            <w:fldChar w:fldCharType="begin"/>
          </w:r>
          <w:r>
            <w:instrText xml:space="preserve"> PAGEREF _Toc2700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25FE05BF">
          <w:pPr>
            <w:pStyle w:val="14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_Toc28059 </w:instrText>
          </w:r>
          <w:r>
            <w:fldChar w:fldCharType="separate"/>
          </w:r>
          <w:r>
            <w:rPr>
              <w:rFonts w:hint="eastAsia"/>
            </w:rPr>
            <w:t xml:space="preserve">（三） </w:t>
          </w:r>
          <w:r>
            <w:t>人才激励机制</w:t>
          </w:r>
          <w:r>
            <w:tab/>
          </w:r>
          <w:r>
            <w:fldChar w:fldCharType="begin"/>
          </w:r>
          <w:r>
            <w:instrText xml:space="preserve"> PAGEREF _Toc28059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3B3DB56C">
          <w:pPr>
            <w:pStyle w:val="12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_Toc25174 </w:instrText>
          </w:r>
          <w:r>
            <w:fldChar w:fldCharType="separate"/>
          </w:r>
          <w:r>
            <w:rPr>
              <w:rFonts w:hint="eastAsia"/>
            </w:rPr>
            <w:t xml:space="preserve">七、 </w:t>
          </w:r>
          <w:r>
            <w:t>投资预算与财务预测</w:t>
          </w:r>
          <w:r>
            <w:tab/>
          </w:r>
          <w:r>
            <w:fldChar w:fldCharType="begin"/>
          </w:r>
          <w:r>
            <w:instrText xml:space="preserve"> PAGEREF _Toc25174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088A807F">
          <w:pPr>
            <w:pStyle w:val="14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_Toc17696 </w:instrText>
          </w:r>
          <w:r>
            <w:fldChar w:fldCharType="separate"/>
          </w:r>
          <w:r>
            <w:rPr>
              <w:rFonts w:hint="eastAsia"/>
            </w:rPr>
            <w:t xml:space="preserve">（一） </w:t>
          </w:r>
          <w:r>
            <w:t>资金需求与用途</w:t>
          </w:r>
          <w:r>
            <w:tab/>
          </w:r>
          <w:r>
            <w:fldChar w:fldCharType="begin"/>
          </w:r>
          <w:r>
            <w:instrText xml:space="preserve"> PAGEREF _Toc17696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31A61E07">
          <w:pPr>
            <w:pStyle w:val="14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_Toc18881 </w:instrText>
          </w:r>
          <w:r>
            <w:fldChar w:fldCharType="separate"/>
          </w:r>
          <w:r>
            <w:rPr>
              <w:rFonts w:hint="eastAsia"/>
            </w:rPr>
            <w:t xml:space="preserve">（二） </w:t>
          </w:r>
          <w:r>
            <w:t>财务预测（未来三年）</w:t>
          </w:r>
          <w:r>
            <w:tab/>
          </w:r>
          <w:r>
            <w:fldChar w:fldCharType="begin"/>
          </w:r>
          <w:r>
            <w:instrText xml:space="preserve"> PAGEREF _Toc18881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0A5F5108">
          <w:pPr>
            <w:pStyle w:val="14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_Toc9491 </w:instrText>
          </w:r>
          <w:r>
            <w:fldChar w:fldCharType="separate"/>
          </w:r>
          <w:r>
            <w:rPr>
              <w:rFonts w:hint="eastAsia"/>
            </w:rPr>
            <w:t xml:space="preserve">（三） </w:t>
          </w:r>
          <w:r>
            <w:t>融资计划</w:t>
          </w:r>
          <w:r>
            <w:tab/>
          </w:r>
          <w:r>
            <w:fldChar w:fldCharType="begin"/>
          </w:r>
          <w:r>
            <w:instrText xml:space="preserve"> PAGEREF _Toc9491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024ECBCF">
          <w:pPr>
            <w:pStyle w:val="12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_Toc18159 </w:instrText>
          </w:r>
          <w:r>
            <w:fldChar w:fldCharType="separate"/>
          </w:r>
          <w:r>
            <w:rPr>
              <w:rFonts w:hint="eastAsia"/>
            </w:rPr>
            <w:t xml:space="preserve">八、 </w:t>
          </w:r>
          <w:r>
            <w:t>风险评估与应对策略</w:t>
          </w:r>
          <w:r>
            <w:tab/>
          </w:r>
          <w:r>
            <w:fldChar w:fldCharType="begin"/>
          </w:r>
          <w:r>
            <w:instrText xml:space="preserve"> PAGEREF _Toc18159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38E4C5C3">
          <w:pPr>
            <w:pStyle w:val="14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_Toc14232 </w:instrText>
          </w:r>
          <w:r>
            <w:fldChar w:fldCharType="separate"/>
          </w:r>
          <w:r>
            <w:rPr>
              <w:rFonts w:hint="eastAsia"/>
            </w:rPr>
            <w:t xml:space="preserve">（一） </w:t>
          </w:r>
          <w:r>
            <w:t>技术风险</w:t>
          </w:r>
          <w:r>
            <w:tab/>
          </w:r>
          <w:r>
            <w:fldChar w:fldCharType="begin"/>
          </w:r>
          <w:r>
            <w:instrText xml:space="preserve"> PAGEREF _Toc14232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428E299C">
          <w:pPr>
            <w:pStyle w:val="14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_Toc19921 </w:instrText>
          </w:r>
          <w:r>
            <w:fldChar w:fldCharType="separate"/>
          </w:r>
          <w:r>
            <w:rPr>
              <w:rFonts w:hint="eastAsia"/>
            </w:rPr>
            <w:t xml:space="preserve">（二） </w:t>
          </w:r>
          <w:r>
            <w:t>市场风险</w:t>
          </w:r>
          <w:r>
            <w:tab/>
          </w:r>
          <w:r>
            <w:fldChar w:fldCharType="begin"/>
          </w:r>
          <w:r>
            <w:instrText xml:space="preserve"> PAGEREF _Toc19921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5C5D239B">
          <w:pPr>
            <w:pStyle w:val="14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_Toc20916 </w:instrText>
          </w:r>
          <w:r>
            <w:fldChar w:fldCharType="separate"/>
          </w:r>
          <w:r>
            <w:rPr>
              <w:rFonts w:hint="eastAsia"/>
            </w:rPr>
            <w:t xml:space="preserve">（三） </w:t>
          </w:r>
          <w:r>
            <w:t>运营风险</w:t>
          </w:r>
          <w:r>
            <w:tab/>
          </w:r>
          <w:r>
            <w:fldChar w:fldCharType="begin"/>
          </w:r>
          <w:r>
            <w:instrText xml:space="preserve"> PAGEREF _Toc20916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65B032A8">
          <w:pPr>
            <w:pStyle w:val="14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_Toc13523 </w:instrText>
          </w:r>
          <w:r>
            <w:fldChar w:fldCharType="separate"/>
          </w:r>
          <w:r>
            <w:rPr>
              <w:rFonts w:hint="eastAsia"/>
            </w:rPr>
            <w:t xml:space="preserve">（四） </w:t>
          </w:r>
          <w:r>
            <w:t>政策与法律风险</w:t>
          </w:r>
          <w:r>
            <w:tab/>
          </w:r>
          <w:r>
            <w:fldChar w:fldCharType="begin"/>
          </w:r>
          <w:r>
            <w:instrText xml:space="preserve"> PAGEREF _Toc13523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3B236E77">
          <w:pPr>
            <w:pStyle w:val="12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_Toc14289 </w:instrText>
          </w:r>
          <w:r>
            <w:fldChar w:fldCharType="separate"/>
          </w:r>
          <w:r>
            <w:rPr>
              <w:rFonts w:hint="eastAsia"/>
            </w:rPr>
            <w:t xml:space="preserve">九、 </w:t>
          </w:r>
          <w:r>
            <w:t>社会效益与可持续发展</w:t>
          </w:r>
          <w:r>
            <w:tab/>
          </w:r>
          <w:r>
            <w:fldChar w:fldCharType="begin"/>
          </w:r>
          <w:r>
            <w:instrText xml:space="preserve"> PAGEREF _Toc14289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17DB1400">
          <w:pPr>
            <w:pStyle w:val="14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_Toc32689 </w:instrText>
          </w:r>
          <w:r>
            <w:fldChar w:fldCharType="separate"/>
          </w:r>
          <w:r>
            <w:rPr>
              <w:rFonts w:hint="eastAsia"/>
            </w:rPr>
            <w:t xml:space="preserve">（一） </w:t>
          </w:r>
          <w:r>
            <w:t>社会效益</w:t>
          </w:r>
          <w:r>
            <w:tab/>
          </w:r>
          <w:r>
            <w:fldChar w:fldCharType="begin"/>
          </w:r>
          <w:r>
            <w:instrText xml:space="preserve"> PAGEREF _Toc32689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22589CDE">
          <w:pPr>
            <w:pStyle w:val="14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_Toc29620 </w:instrText>
          </w:r>
          <w:r>
            <w:fldChar w:fldCharType="separate"/>
          </w:r>
          <w:r>
            <w:rPr>
              <w:rFonts w:hint="eastAsia"/>
            </w:rPr>
            <w:t xml:space="preserve">（二） </w:t>
          </w:r>
          <w:r>
            <w:t>生态效益</w:t>
          </w:r>
          <w:r>
            <w:tab/>
          </w:r>
          <w:r>
            <w:fldChar w:fldCharType="begin"/>
          </w:r>
          <w:r>
            <w:instrText xml:space="preserve"> PAGEREF _Toc29620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2FCF3C9E">
          <w:pPr>
            <w:pStyle w:val="14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_Toc14900 </w:instrText>
          </w:r>
          <w:r>
            <w:fldChar w:fldCharType="separate"/>
          </w:r>
          <w:r>
            <w:rPr>
              <w:rFonts w:hint="eastAsia"/>
            </w:rPr>
            <w:t xml:space="preserve">（三） </w:t>
          </w:r>
          <w:r>
            <w:t>可持续发展</w:t>
          </w:r>
          <w:r>
            <w:tab/>
          </w:r>
          <w:r>
            <w:fldChar w:fldCharType="begin"/>
          </w:r>
          <w:r>
            <w:instrText xml:space="preserve"> PAGEREF _Toc14900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5A8831CB">
          <w:pPr>
            <w:pStyle w:val="12"/>
            <w:tabs>
              <w:tab w:val="right" w:leader="middleDot" w:pos="9065"/>
            </w:tabs>
          </w:pPr>
          <w:r>
            <w:rPr>
              <w:u w:val="none"/>
            </w:rPr>
            <w:fldChar w:fldCharType="begin"/>
          </w:r>
          <w:r>
            <w:instrText xml:space="preserve"> HYPERLINK \l _Toc11980 </w:instrText>
          </w:r>
          <w:r>
            <w:fldChar w:fldCharType="separate"/>
          </w:r>
          <w:r>
            <w:rPr>
              <w:rFonts w:hint="eastAsia"/>
            </w:rPr>
            <w:t xml:space="preserve">十、 </w:t>
          </w:r>
          <w:r>
            <w:t>结论</w:t>
          </w:r>
          <w:r>
            <w:tab/>
          </w:r>
          <w:r>
            <w:fldChar w:fldCharType="begin"/>
          </w:r>
          <w:r>
            <w:instrText xml:space="preserve"> PAGEREF _Toc11980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u w:val="none"/>
            </w:rPr>
            <w:fldChar w:fldCharType="end"/>
          </w:r>
        </w:p>
        <w:p w14:paraId="70243128">
          <w:pPr>
            <w:pStyle w:val="15"/>
            <w:widowControl/>
            <w:jc w:val="both"/>
            <w:rPr>
              <w:rFonts w:ascii="Times New Roman" w:hAnsi="Times New Roman" w:eastAsia="宋体" w:cs="Times New Roman"/>
              <w:b/>
              <w:sz w:val="32"/>
              <w:u w:val="none"/>
            </w:rPr>
            <w:sectPr>
              <w:headerReference r:id="rId3" w:type="default"/>
              <w:footerReference r:id="rId4" w:type="default"/>
              <w:pgSz w:w="11900" w:h="16838"/>
              <w:pgMar w:top="1417" w:right="1134" w:bottom="1134" w:left="1701" w:header="720" w:footer="720" w:gutter="0"/>
              <w:cols w:space="0" w:num="1"/>
              <w:rtlGutter w:val="0"/>
              <w:docGrid w:linePitch="0" w:charSpace="0"/>
            </w:sectPr>
          </w:pPr>
          <w:r>
            <w:rPr>
              <w:u w:val="none"/>
            </w:rPr>
            <w:fldChar w:fldCharType="end"/>
          </w:r>
        </w:p>
      </w:sdtContent>
    </w:sdt>
    <w:p w14:paraId="09E5D952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jc w:val="both"/>
        <w:textAlignment w:val="auto"/>
        <w:rPr>
          <w:b/>
          <w:sz w:val="28"/>
          <w:u w:val="none"/>
        </w:rPr>
      </w:pPr>
    </w:p>
    <w:p w14:paraId="665C9F3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723" w:firstLineChars="200"/>
        <w:textAlignment w:val="auto"/>
      </w:pPr>
      <w:bookmarkStart w:id="0" w:name="_Toc13514"/>
      <w:r>
        <w:t>执行摘要</w:t>
      </w:r>
      <w:bookmarkEnd w:id="0"/>
    </w:p>
    <w:p w14:paraId="59A1B9DB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02" w:firstLineChars="200"/>
        <w:textAlignment w:val="auto"/>
      </w:pPr>
      <w:bookmarkStart w:id="1" w:name="_Toc10328"/>
      <w:r>
        <w:t>项目背景与使命</w:t>
      </w:r>
      <w:bookmarkEnd w:id="1"/>
    </w:p>
    <w:p w14:paraId="5C06A87C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在“数字中国”与“乡村振兴”两大国家战略的交汇点，农业数字化转型已进入深水区。当前，我国农产品供应链面临着严峻的信任危机：生产端的分散化导致数据断层，流通端的信息不对称引发劣币驱逐良币，消费端对食品安全的焦虑日益加剧。传统的二维码溯源往往沦为“数字标签”，数据录入依赖人工，极易造假，无法真正构建信任闭环。</w:t>
      </w:r>
    </w:p>
    <w:p w14:paraId="4E1A9DBF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“启元农链”项目应运而生。我们致力于成为中国领先的农业信任基础设施服务商，以“科技重塑农业信任，数据赋能乡村振兴”为使命，利用人工智能、区块链、物联网和大数据等前沿技术，构建“从田间到餐桌”的全生命周期可信溯源体系。我们不仅是在做一个溯源系统，更是在构建一个农业数据的价值网络，让每一份农产品都拥有不可篡改的“数字身份证”，让好产品卖出好价钱，让消费者买得放心。</w:t>
      </w:r>
    </w:p>
    <w:p w14:paraId="3A737601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02" w:firstLineChars="200"/>
        <w:textAlignment w:val="auto"/>
      </w:pPr>
      <w:bookmarkStart w:id="2" w:name="_Toc15994"/>
      <w:r>
        <w:t>核心痛点与解决方案</w:t>
      </w:r>
      <w:bookmarkEnd w:id="2"/>
    </w:p>
    <w:p w14:paraId="7FA3841C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</w:pPr>
      <w:r>
        <w:t>核心痛点：</w:t>
      </w:r>
    </w:p>
    <w:p w14:paraId="293675BD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960" w:firstLineChars="4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信任赤字：农产品安全事故频发，消费者“不敢买”，优质农产品“卖不出”，品牌溢价难以实现。</w:t>
      </w:r>
    </w:p>
    <w:p w14:paraId="6F8FF59E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数据孤岛：农业生产、加工、物流、销售各环节数据割裂，缺乏统一标准，监管部门难以实现穿透式监管。</w:t>
      </w:r>
    </w:p>
    <w:p w14:paraId="4AD713D3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技术门槛高：现有的高端溯源系统成本高昂，中小农户和合作社无力承担，数字化红利难以普惠。</w:t>
      </w:r>
    </w:p>
    <w:p w14:paraId="67FCA63B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</w:pPr>
      <w:r>
        <w:t>解决方案：</w:t>
      </w:r>
    </w:p>
    <w:p w14:paraId="67FCF27B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技术融合：采用“AIoT+区块链”双引擎驱动。物联网设备自动采集环境与生长数据，AI算法进行图像识别与产量预测，区块链确保关键数据（农事记录、质检报告、物流轨迹）上链存证，不可篡改。</w:t>
      </w:r>
    </w:p>
    <w:p w14:paraId="5ACFFEB6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低成本普惠：开发轻量化、模块化的SaaS平台，支持手机端便捷操作，降低农户使用门槛；提供“硬件租赁+软件订阅”的灵活付费模式。</w:t>
      </w:r>
    </w:p>
    <w:p w14:paraId="2151245C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价值增值：不仅提供溯源查询，更提供基于大数据的品牌营销工具、供应链金融服务和碳足迹核算，帮助农户实现从“种得好”到“卖得好”的转变。</w:t>
      </w:r>
    </w:p>
    <w:p w14:paraId="46D4352C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02" w:firstLineChars="200"/>
        <w:textAlignment w:val="auto"/>
      </w:pPr>
      <w:bookmarkStart w:id="3" w:name="_Toc24934"/>
      <w:r>
        <w:t>项目愿景与目标</w:t>
      </w:r>
      <w:bookmarkEnd w:id="3"/>
    </w:p>
    <w:p w14:paraId="3E079B3E">
      <w:pPr>
        <w:pStyle w:val="4"/>
        <w:keepNext w:val="0"/>
        <w:keepLines w:val="0"/>
        <w:pageBreakBefore w:val="0"/>
        <w:numPr>
          <w:ilvl w:val="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00" w:leftChars="0" w:firstLine="482" w:firstLineChars="200"/>
        <w:textAlignment w:val="auto"/>
      </w:pPr>
      <w:r>
        <w:t>愿景：成为中国农业数字化领域的“信任基石”，连接亿万农户与亿万消费者。</w:t>
      </w:r>
    </w:p>
    <w:p w14:paraId="218313CF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短期目标（1年）：完成平台核心功能开发，在山东省内建立3个示范基地（如寿光蔬菜、烟台苹果、金乡大蒜），签约50家合作社，实现溯源产品10万批次，扫码查询量突破50万次。</w:t>
      </w:r>
    </w:p>
    <w:p w14:paraId="08C26943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中期目标（3年）：拓展至全国主要农业产区，服务农业主体超1000家，平台交易额突破1亿元，成为省级农业数字化标杆项目。</w:t>
      </w:r>
    </w:p>
    <w:p w14:paraId="710A9E34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长期目标（5年）：主导或参与制定2-3项农业溯源行业标准，探索海外市场，启动IPO辅导，成为农业大数据领域的独角兽企业。</w:t>
      </w:r>
    </w:p>
    <w:p w14:paraId="12548AC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723" w:firstLineChars="200"/>
        <w:textAlignment w:val="auto"/>
      </w:pPr>
      <w:bookmarkStart w:id="4" w:name="_Toc24989"/>
      <w:r>
        <w:t>市场分析</w:t>
      </w:r>
      <w:bookmarkEnd w:id="4"/>
    </w:p>
    <w:p w14:paraId="7B576027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02" w:firstLineChars="200"/>
        <w:textAlignment w:val="auto"/>
      </w:pPr>
      <w:bookmarkStart w:id="5" w:name="_Toc6964"/>
      <w:r>
        <w:t>宏观环境分析</w:t>
      </w:r>
      <w:bookmarkEnd w:id="5"/>
    </w:p>
    <w:p w14:paraId="12E858B6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政策驱动：《“十四五”数字经济发展规划》明确提出要“加快发展数字农业，建设农产品质量安全追溯体系”。农业农村部《关于加快推进农产品质量安全追溯体系建设的意见》要求到2025年，国家级贫困县和“菜篮子”主产县基本实现追溯管理。山东省作为农业大省，更是出台了《山东省数字农业农村发展规划》，大力支持农业物联网、区块链等技术的推广应用。</w:t>
      </w:r>
    </w:p>
    <w:p w14:paraId="0AA968F0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经济驱动：中国农产品电商市场规模已突破8000亿元，且保持高速增长。消费者对高品质、可溯源农产品的支付意愿显著提升，据调查，超过70%的消费者愿意为“可溯源”标签支付10%-20%的溢价。</w:t>
      </w:r>
    </w:p>
    <w:p w14:paraId="6F6B6896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社会驱动：食品安全已成为民生关注的焦点。同时，随着“Z世代”成为消费主力，他们对产品的透明度、环保属性（如碳足迹）有着更高的要求。</w:t>
      </w:r>
    </w:p>
    <w:p w14:paraId="7574CF6A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02" w:firstLineChars="200"/>
        <w:textAlignment w:val="auto"/>
      </w:pPr>
      <w:bookmarkStart w:id="6" w:name="_Toc8230"/>
      <w:r>
        <w:t>市场规模与增长潜力</w:t>
      </w:r>
      <w:bookmarkEnd w:id="6"/>
    </w:p>
    <w:p w14:paraId="27BBC8BA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溯源市场：预计2025年中国农产品溯源市场规模将达到500亿元，年复合增长率超过25%。</w:t>
      </w:r>
    </w:p>
    <w:p w14:paraId="67763D0C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农业物联网市场：预计2025年规模将突破1000亿元，其中环境监测、智能灌溉等细分领域增长迅速。</w:t>
      </w:r>
    </w:p>
    <w:p w14:paraId="0A79B45E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农业大数据市场：随着数据积累，基于数据的精准营销、供应链金融、保险风控等增值服务市场潜力巨大，预计规模将超千亿元。</w:t>
      </w:r>
    </w:p>
    <w:p w14:paraId="77619D3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02" w:firstLineChars="200"/>
        <w:textAlignment w:val="auto"/>
      </w:pPr>
      <w:bookmarkStart w:id="7" w:name="_Toc6873"/>
      <w:r>
        <w:t>竞争格局分析</w:t>
      </w:r>
      <w:bookmarkEnd w:id="7"/>
    </w:p>
    <w:p w14:paraId="439D3528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</w:pPr>
      <w:r>
        <w:t>现有竞争者：</w:t>
      </w:r>
    </w:p>
    <w:p w14:paraId="47AD37FC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大型科技公司（如阿里、京东）：拥有强大的技术实力和平台流量，但其解决方案往往“重资产、高成本”，主要服务于大型龙头企业，难以覆盖广大的中小农户。</w:t>
      </w:r>
    </w:p>
    <w:p w14:paraId="5F1AAFFE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传统软件厂商：产品功能单一，多为“记录型”溯源，缺乏AI和区块链的深度应用，数据可信度存疑。</w:t>
      </w:r>
    </w:p>
    <w:p w14:paraId="7D094C88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初创企业：数量众多，但普遍存在技术壁垒低、商业模式不清晰、资金实力弱等问题。</w:t>
      </w:r>
    </w:p>
    <w:p w14:paraId="44BB6BF9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</w:pPr>
      <w:r>
        <w:t>启元农链的竞争优势：</w:t>
      </w:r>
    </w:p>
    <w:p w14:paraId="3CFB4763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技术差异化：深度融合AI与区块链，实现“数据自动采集+可信存证+智能分析”，而非简单的人工录入。</w:t>
      </w:r>
    </w:p>
    <w:p w14:paraId="63AD2182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市场定位精准：聚焦“中小农户+特色农产品”，提供高性价比、易部署的轻量化解决方案。</w:t>
      </w:r>
    </w:p>
    <w:p w14:paraId="41075F91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本地化服务：依托高校和地方政府资源，建立“技术+运营”双轮驱动的本地化服务体系，快速响应客户需求。</w:t>
      </w:r>
    </w:p>
    <w:p w14:paraId="18EB7E12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生态化布局：不仅提供溯源工具，更链接金融、物流、营销等上下游资源，构建农业产业互联网生态。</w:t>
      </w:r>
    </w:p>
    <w:p w14:paraId="5837F65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723" w:firstLineChars="200"/>
        <w:textAlignment w:val="auto"/>
      </w:pPr>
      <w:bookmarkStart w:id="8" w:name="_Toc29209"/>
      <w:r>
        <w:t>产品与技术方案</w:t>
      </w:r>
      <w:bookmarkEnd w:id="8"/>
    </w:p>
    <w:p w14:paraId="209796AC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02" w:firstLineChars="200"/>
        <w:textAlignment w:val="auto"/>
      </w:pPr>
      <w:bookmarkStart w:id="9" w:name="_Toc10883"/>
      <w:r>
        <w:t>总体架构设计</w:t>
      </w:r>
      <w:bookmarkEnd w:id="9"/>
    </w:p>
    <w:p w14:paraId="45AE2D31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系统采用“云-边-端”协同的分层架构，确保数据的实时性、安全性和可扩展性。</w:t>
      </w:r>
    </w:p>
    <w:p w14:paraId="562E9E45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端层（感知层）：部署各类物联网传感器（温湿度、土壤墒情、光照）、智能摄像头、RFID标签、GPS定位设备等，实现农业生产环境的实时监测和物流轨迹的精准追踪。同时，开发农户端APP，支持人工补录农事操作（如施肥、打药）。</w:t>
      </w:r>
    </w:p>
    <w:p w14:paraId="705D7BF3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边层（边缘计算）：在产地部署边缘计算网关，对海量传感器数据进行预处理和过滤，降低网络传输压力，并实现本地化的实时预警（如温湿度异常报警）。</w:t>
      </w:r>
    </w:p>
    <w:p w14:paraId="0F09D570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云层（平台层）：</w:t>
      </w:r>
    </w:p>
    <w:p w14:paraId="30840829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区块链服务：基于Hyperledger Fabric搭建联盟链，将关键数据（如农事记录、质检报告、物流签收单）的哈希值上链，确保数据不可篡改、可追溯。</w:t>
      </w:r>
    </w:p>
    <w:p w14:paraId="6D2BE47B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大数据中心：对海量数据进行清洗、存储和分析，构建农产品生长模型、市场预测模型、风险评估模型。</w:t>
      </w:r>
    </w:p>
    <w:p w14:paraId="76839CC9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AI引擎：集成计算机视觉算法，实现病虫害智能识别、果实成熟度检测；集成自然语言处理技术，实现智能客服和市场舆情分析。</w:t>
      </w:r>
    </w:p>
    <w:p w14:paraId="57AB0E9E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应用层：面向政府、企业、消费者提供多端应用，包括政府监管大屏、企业管理后台、消费者查询小程序、数据可视化看板等。</w:t>
      </w:r>
    </w:p>
    <w:p w14:paraId="689E5812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02" w:firstLineChars="200"/>
        <w:textAlignment w:val="auto"/>
      </w:pPr>
      <w:bookmarkStart w:id="10" w:name="_Toc18998"/>
      <w:r>
        <w:t>核心功能模块</w:t>
      </w:r>
      <w:bookmarkEnd w:id="10"/>
    </w:p>
    <w:p w14:paraId="5270B8DA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</w:pPr>
      <w:r>
        <w:t>生产溯源模块：</w:t>
      </w:r>
    </w:p>
    <w:p w14:paraId="7A0CA864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环境监测：实时展示温度、湿度、土壤PH值、光照强度等数据，生成环境变化曲线。</w:t>
      </w:r>
    </w:p>
    <w:p w14:paraId="56BBEFC3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农事记录：记录播种、施肥、灌溉、打药、采摘等全过程，支持图片、视频上传。</w:t>
      </w:r>
    </w:p>
    <w:p w14:paraId="2F97796F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AI病虫害识别：农户拍摄叶片照片，AI自动识别病虫害类型并推荐防治方案。</w:t>
      </w:r>
    </w:p>
    <w:p w14:paraId="7BBC1679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投入品管理：记录种子、化肥、农药等投入品的来源、批次、使用情况，确保合规。</w:t>
      </w:r>
    </w:p>
    <w:p w14:paraId="7ACA9CA4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</w:pPr>
      <w:r>
        <w:t>加工与质检模块：</w:t>
      </w:r>
    </w:p>
    <w:p w14:paraId="6F495A2E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加工流程记录：记录清洗、分拣、包装、仓储等环节的操作人员和设备信息。</w:t>
      </w:r>
    </w:p>
    <w:p w14:paraId="4A6FEE38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质检报告管理：对接第三方检测机构，自动上传农残、重金属等检测报告，确保合格产品方可出厂。</w:t>
      </w:r>
    </w:p>
    <w:p w14:paraId="343630F5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批次管理：实现“一物一码”，每个包装箱、每个单品都有唯一的溯源码。</w:t>
      </w:r>
    </w:p>
    <w:p w14:paraId="142BD484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</w:pPr>
      <w:r>
        <w:t>物流与销售模块：</w:t>
      </w:r>
    </w:p>
    <w:p w14:paraId="4CBD4C20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冷链监控：在运输车辆上安装温湿度传感器，实时监控运输环境，异常自动报警。</w:t>
      </w:r>
    </w:p>
    <w:p w14:paraId="4951652D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物流轨迹追踪：集成GPS/北斗定位，实时展示车辆位置和历史轨迹。</w:t>
      </w:r>
    </w:p>
    <w:p w14:paraId="25AB131B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营销工具：为每个溯源码生成专属的“产品故事页”，包含产地风光、农户介绍、生长日记等，提升品牌温度。</w:t>
      </w:r>
    </w:p>
    <w:p w14:paraId="1E696D76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</w:pPr>
      <w:r>
        <w:t>区块链存证模块：</w:t>
      </w:r>
    </w:p>
    <w:p w14:paraId="01625617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数据上链：将关键环节的数据哈希值写入区块链，生成唯一的“区块指纹”。</w:t>
      </w:r>
    </w:p>
    <w:p w14:paraId="21E34F01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防伪验证：消费者扫码后，系统自动比对链上数据与本地数据，确保信息未被篡改。</w:t>
      </w:r>
    </w:p>
    <w:p w14:paraId="27C591FF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审计追溯：支持监管部门按批次、按时间、按地点进行穿透式审计，快速定位问题源头。</w:t>
      </w:r>
    </w:p>
    <w:p w14:paraId="5F21CF3A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</w:pPr>
      <w:r>
        <w:t>大数据驾驶舱：</w:t>
      </w:r>
    </w:p>
    <w:p w14:paraId="263D0095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产业地图：可视化展示区域内各基地的种植面积、产量、品种分布。</w:t>
      </w:r>
    </w:p>
    <w:p w14:paraId="55901861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风险预警：基于历史数据和气象预报，预测病虫害爆发风险、市场价格波动风险。</w:t>
      </w:r>
    </w:p>
    <w:p w14:paraId="37282D90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决策支持：为政府提供产业规划依据，为企业提供种植建议和市场策略。</w:t>
      </w:r>
    </w:p>
    <w:p w14:paraId="64BC1A10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02" w:firstLineChars="200"/>
        <w:textAlignment w:val="auto"/>
      </w:pPr>
      <w:bookmarkStart w:id="11" w:name="_Toc17913"/>
      <w:r>
        <w:t>技术创新点</w:t>
      </w:r>
      <w:bookmarkEnd w:id="11"/>
    </w:p>
    <w:p w14:paraId="002A1980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“AI+区块链”双轮驱动：AI解决“数据怎么来”和“数据怎么用”的问题，区块链解决“数据是否可信”的问题，两者结合，实现了从“数据记录”到“数据资产”的跨越。</w:t>
      </w:r>
    </w:p>
    <w:p w14:paraId="56C57CD7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轻量化边缘计算：通过边缘网关实现本地数据处理和实时预警，降低了对网络带宽的依赖，特别适合网络条件较差的农村地区。</w:t>
      </w:r>
    </w:p>
    <w:p w14:paraId="481B9F0A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动态溯源模型：不同于传统的静态溯源，我们的系统能根据产品的生长环境和市场反馈，动态调整溯源信息的展示内容和深度，实现“千人千面”的个性化溯源体验。</w:t>
      </w:r>
    </w:p>
    <w:p w14:paraId="41F78B7B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隐私计算与数据安全：采用多方安全计算和联邦学习技术，在保护农户商业机密和个人隐私的前提下，实现数据的共享和联合建模，挖掘数据的更大价值。</w:t>
      </w:r>
    </w:p>
    <w:p w14:paraId="0021FD6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723" w:firstLineChars="200"/>
        <w:textAlignment w:val="auto"/>
      </w:pPr>
      <w:bookmarkStart w:id="12" w:name="_Toc24847"/>
      <w:r>
        <w:t>商业模式与盈利路径</w:t>
      </w:r>
      <w:bookmarkEnd w:id="12"/>
    </w:p>
    <w:p w14:paraId="54EC35E4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02" w:firstLineChars="200"/>
        <w:textAlignment w:val="auto"/>
      </w:pPr>
      <w:bookmarkStart w:id="13" w:name="_Toc18400"/>
      <w:r>
        <w:t>商业模式画布</w:t>
      </w:r>
      <w:bookmarkEnd w:id="13"/>
    </w:p>
    <w:p w14:paraId="5C7C513F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</w:pPr>
      <w:r>
        <w:t>客户细分：</w:t>
      </w:r>
    </w:p>
    <w:p w14:paraId="17663806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核心客户：农民专业合作社、家庭农场、农业龙头企业。</w:t>
      </w:r>
    </w:p>
    <w:p w14:paraId="0DAE8457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重要客户：地方政府农业部门、生鲜电商平台、大型商超。</w:t>
      </w:r>
    </w:p>
    <w:p w14:paraId="279ED8EC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最终用户：关注食品安全的中高端消费者。</w:t>
      </w:r>
    </w:p>
    <w:p w14:paraId="37135204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</w:pPr>
      <w:r>
        <w:t>价值主张：</w:t>
      </w:r>
    </w:p>
    <w:p w14:paraId="4F879A43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对农户：提升产品信任度，实现品牌溢价，获得金融和保险支持。</w:t>
      </w:r>
    </w:p>
    <w:p w14:paraId="371DE567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对政府：实现精准监管，提升区域农业品牌形象，助力乡村振兴。</w:t>
      </w:r>
    </w:p>
    <w:p w14:paraId="3A4F19B9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对消费者：获得透明、可信的食品安全信息，享受优质农产品。</w:t>
      </w:r>
    </w:p>
    <w:p w14:paraId="276A3BDA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</w:pPr>
      <w:r>
        <w:t>渠道通路：</w:t>
      </w:r>
    </w:p>
    <w:p w14:paraId="6B098D6F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线上渠道：官网、微信公众号、行业垂直媒体、电商平台合作。</w:t>
      </w:r>
    </w:p>
    <w:p w14:paraId="0B958C6E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线下渠道：参加农业博览会、与地方农业局合作推广、建立区域代理商体系。</w:t>
      </w:r>
    </w:p>
    <w:p w14:paraId="5B682C0D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</w:pPr>
      <w:r>
        <w:t>客户关系：</w:t>
      </w:r>
    </w:p>
    <w:p w14:paraId="7BDD5212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SaaS订阅：提供标准化软件服务，按年收费。</w:t>
      </w:r>
    </w:p>
    <w:p w14:paraId="7DA8FF54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项目定制：为大型客户提供定制化开发和私有化部署。</w:t>
      </w:r>
    </w:p>
    <w:p w14:paraId="487AD8F1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社群运营：建立农户社群，提供技术培训和经验分享，增强用户粘性。</w:t>
      </w:r>
    </w:p>
    <w:p w14:paraId="4ACC2390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</w:pPr>
      <w:r>
        <w:t>收入来源：</w:t>
      </w:r>
    </w:p>
    <w:p w14:paraId="7FB4C0E1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软件订阅费：SaaS平台年费，按功能模块和用户数收费。</w:t>
      </w:r>
    </w:p>
    <w:p w14:paraId="4BCD1E50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硬件销售/租赁费：销售或租赁物联网传感器、智能摄像头等设备。</w:t>
      </w:r>
    </w:p>
    <w:p w14:paraId="06B19C81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增值服务费：提供品牌营销策划、供应链金融撮合、碳足迹核算等服务的佣金。</w:t>
      </w:r>
    </w:p>
    <w:p w14:paraId="530AC712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数据服务费：向保险公司、期货公司提供农业大数据分析报告。</w:t>
      </w:r>
    </w:p>
    <w:p w14:paraId="7BE782EA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02" w:firstLineChars="200"/>
        <w:textAlignment w:val="auto"/>
      </w:pPr>
      <w:bookmarkStart w:id="14" w:name="_Toc419"/>
      <w:r>
        <w:t>盈利路径规划</w:t>
      </w:r>
      <w:bookmarkEnd w:id="14"/>
    </w:p>
    <w:p w14:paraId="7A09F377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第一阶段（0-1年）：产品打磨与标杆树立</w:t>
      </w:r>
    </w:p>
    <w:p w14:paraId="2DA1709C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重点：完成平台开发，在山东省内选取3-5个特色农产品（如章丘大葱、莱阳梨）打造标杆案例。</w:t>
      </w:r>
    </w:p>
    <w:p w14:paraId="6B63BAE4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收入：主要来自硬件销售和少量的SaaS订阅费，预计收入100-200万元。</w:t>
      </w:r>
    </w:p>
    <w:p w14:paraId="75C940A5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策略：与地方政府合作，争取政策补贴，降低农户使用成本，快速积累用户和数据。</w:t>
      </w:r>
    </w:p>
    <w:p w14:paraId="533F70ED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第二阶段（1-3年）：规模扩张与生态构建</w:t>
      </w:r>
    </w:p>
    <w:p w14:paraId="0DDB799F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重点：拓展至全国主要农业产区，建立区域运营中心，发展代理商渠道。</w:t>
      </w:r>
    </w:p>
    <w:p w14:paraId="285D2427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收入：SaaS订阅费成为主要收入来源，增值服务收入占比提升，预计年收入突破2000万元。</w:t>
      </w:r>
    </w:p>
    <w:p w14:paraId="37415D68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策略：推出“溯源+金融”、“溯源+保险”等组合产品，与银行、保险公司深度合作，分享金融服务的收益。</w:t>
      </w:r>
    </w:p>
    <w:p w14:paraId="1289C512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第三阶段（3-5年）：数据变现与平台化运营</w:t>
      </w:r>
    </w:p>
    <w:p w14:paraId="34C6639D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重点：构建农业产业互联网平台，连接农资、农机、物流、销售等全产业链资源。</w:t>
      </w:r>
    </w:p>
    <w:p w14:paraId="1A151DE6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收入：数据服务费和平台交易佣金成为新的增长点，预计年收入突破1亿元。</w:t>
      </w:r>
    </w:p>
    <w:p w14:paraId="57115493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策略：开放API接口，吸引第三方开发者入驻，共同打造农业数字化生态。</w:t>
      </w:r>
    </w:p>
    <w:p w14:paraId="6AC6C3D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723" w:firstLineChars="200"/>
        <w:textAlignment w:val="auto"/>
      </w:pPr>
      <w:bookmarkStart w:id="15" w:name="_Toc1636"/>
      <w:r>
        <w:t>项目实施计划</w:t>
      </w:r>
      <w:bookmarkEnd w:id="15"/>
    </w:p>
    <w:p w14:paraId="4D78952C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02" w:firstLineChars="200"/>
        <w:textAlignment w:val="auto"/>
      </w:pPr>
      <w:bookmarkStart w:id="16" w:name="_Toc11253"/>
      <w:r>
        <w:t>项目阶段划分</w:t>
      </w:r>
      <w:bookmarkEnd w:id="16"/>
    </w:p>
    <w:p w14:paraId="61E19617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第一阶段：需求调研与原型设计（2026年4月-2026年5月）</w:t>
      </w:r>
    </w:p>
    <w:p w14:paraId="2CA1963F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任务：深入山东寿光、烟台等地进行实地调研，访谈50+农户和企业，明确核心需求。</w:t>
      </w:r>
    </w:p>
    <w:p w14:paraId="2FF17C47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交付物：需求规格说明书、产品原型图、UI设计稿。</w:t>
      </w:r>
    </w:p>
    <w:p w14:paraId="22DB533F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第二阶段：核心系统开发（2026年6月-2026年9月）</w:t>
      </w:r>
    </w:p>
    <w:p w14:paraId="6736C87B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任务：完成区块链底层搭建、AI算法训练、SaaS平台前后端开发、物联网设备联调。</w:t>
      </w:r>
    </w:p>
    <w:p w14:paraId="0A6A68E6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交付物：可运行的系统测试版、AI病虫害识别模型（准确率&gt;90%）、区块链存证接口。</w:t>
      </w:r>
    </w:p>
    <w:p w14:paraId="520158D9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第三阶段：试点应用与迭代优化（2026年10月-2026年12月）</w:t>
      </w:r>
    </w:p>
    <w:p w14:paraId="7A99C85E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任务：在3个示范基地部署系统，收集用户反馈，进行功能迭代和性能优化。</w:t>
      </w:r>
    </w:p>
    <w:p w14:paraId="12D27865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交付物：试点应用报告、用户操作手册、系统优化方案。</w:t>
      </w:r>
    </w:p>
    <w:p w14:paraId="1F1F9E87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第四阶段：市场推广与规模化运营（2027年1月-2027年12月）</w:t>
      </w:r>
    </w:p>
    <w:p w14:paraId="6EDE0B27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任务：启动全省乃至全国的市场推广，建立销售团队和渠道体系，举办产品发布会。</w:t>
      </w:r>
    </w:p>
    <w:p w14:paraId="383A5287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交付物：签约50家客户、平台用户数突破1000人、扫码查询量突破50万次。</w:t>
      </w:r>
    </w:p>
    <w:p w14:paraId="509C6053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02" w:firstLineChars="200"/>
        <w:textAlignment w:val="auto"/>
      </w:pPr>
      <w:bookmarkStart w:id="17" w:name="_Toc504"/>
      <w:r>
        <w:t>关键里程碑</w:t>
      </w:r>
      <w:bookmarkEnd w:id="17"/>
    </w:p>
    <w:p w14:paraId="1778D54E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M1（2026年5月）：完成产品原型设计，通过专家评审。</w:t>
      </w:r>
    </w:p>
    <w:p w14:paraId="7BDA32C6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M2（2026年9月）：完成系统核心功能开发，通过内部测试。</w:t>
      </w:r>
    </w:p>
    <w:p w14:paraId="46E2A73B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M3（2026年12月）：完成试点应用，系统稳定运行，用户满意度&gt;85%。</w:t>
      </w:r>
    </w:p>
    <w:p w14:paraId="44C0D906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M4（2027年6月）：签约客户突破30家，实现盈亏平衡。</w:t>
      </w:r>
    </w:p>
    <w:p w14:paraId="3BBBB388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M5（2027年12月）：平台交易额突破5000万元，启动Pre-A轮融资。</w:t>
      </w:r>
    </w:p>
    <w:p w14:paraId="7344438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723" w:firstLineChars="200"/>
        <w:textAlignment w:val="auto"/>
      </w:pPr>
      <w:bookmarkStart w:id="18" w:name="_Toc17721"/>
      <w:r>
        <w:t>团队组织与管理</w:t>
      </w:r>
      <w:bookmarkEnd w:id="18"/>
    </w:p>
    <w:p w14:paraId="47E7794B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02" w:firstLineChars="200"/>
        <w:textAlignment w:val="auto"/>
      </w:pPr>
      <w:bookmarkStart w:id="19" w:name="_Toc8009"/>
      <w:r>
        <w:t>核心团队介绍</w:t>
      </w:r>
      <w:bookmarkEnd w:id="19"/>
    </w:p>
    <w:p w14:paraId="26B5F278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项目负责人：[你的名字]，[你的学校]计算机科学与技术专业本科生/研究生，曾获“互联网+”大学生创新创业大赛省级金奖，拥有3年软件开发经验，熟悉区块链和AI技术。负责项目整体战略规划和团队管理。</w:t>
      </w:r>
    </w:p>
    <w:p w14:paraId="6C1C342E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技术总监：[虚构成员A]，[你的学校]软件工程专业研究生，专注于区块链底层研发，曾参与国家级科研项目，拥有2项区块链相关发明专利。负责系统架构设计和技术攻关。</w:t>
      </w:r>
    </w:p>
    <w:p w14:paraId="1C51D446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产品总监：[虚构成员B]，[你的学校]农业经济管理专业本科生，辅修市场营销，曾在校创业园运营农产品电商项目，深谙农业行业痛点和用户需求。负责产品规划和用户体验设计。</w:t>
      </w:r>
    </w:p>
    <w:p w14:paraId="0EB4295B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市场总监：[虚构成员C]，[你的学校]工商管理专业本科生，拥有丰富的社团外联经验，曾成功拉到多家企业赞助。负责市场推广和商务拓展。</w:t>
      </w:r>
    </w:p>
    <w:p w14:paraId="5C9FEA80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农业顾问：[虚构导师D]，[你的学校]农学院教授，博士生导师，山东省现代农业产业技术体系专家，为项目提供农业技术指导和行业资源对接。</w:t>
      </w:r>
    </w:p>
    <w:p w14:paraId="3DECDB9D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02" w:firstLineChars="200"/>
        <w:textAlignment w:val="auto"/>
      </w:pPr>
      <w:bookmarkStart w:id="20" w:name="_Toc2700"/>
      <w:r>
        <w:t>组织架构</w:t>
      </w:r>
      <w:bookmarkEnd w:id="20"/>
    </w:p>
    <w:p w14:paraId="26B7E598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技术研发部：负责平台开发、AI算法训练、区块链维护、硬件选型与测试。</w:t>
      </w:r>
    </w:p>
    <w:p w14:paraId="1CF5C253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产品运营部：负责需求分析、产品设计、用户增长、内容运营、数据分析。</w:t>
      </w:r>
    </w:p>
    <w:p w14:paraId="68E388DF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市场销售部：负责品牌推广、渠道建设、客户签约、售后服务。</w:t>
      </w:r>
    </w:p>
    <w:p w14:paraId="43BD5CB5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农业合作部：负责示范基地建设、农户培训、种植标准制定、供应链对接。</w:t>
      </w:r>
    </w:p>
    <w:p w14:paraId="46E66B0F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综合管理部：负责财务、人事、行政、法务等后台支持工作。</w:t>
      </w:r>
    </w:p>
    <w:p w14:paraId="36BA21A7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02" w:firstLineChars="200"/>
        <w:textAlignment w:val="auto"/>
      </w:pPr>
      <w:bookmarkStart w:id="21" w:name="_Toc28059"/>
      <w:r>
        <w:t>人才激励机制</w:t>
      </w:r>
      <w:bookmarkEnd w:id="21"/>
    </w:p>
    <w:p w14:paraId="3E3C53D4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股权激励：为核心团队成员预留20%的期权池，根据贡献度分阶段授予，绑定团队利益。</w:t>
      </w:r>
    </w:p>
    <w:p w14:paraId="354F7912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绩效奖金：设立月度、季度、年度绩效奖金，与销售业绩、产品上线进度等关键指标挂钩。</w:t>
      </w:r>
    </w:p>
    <w:p w14:paraId="21D82264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成长计划：为团队成员提供定期的技术培训、行业交流机会，支持成员参加国内外顶级学术会议和创业大赛。</w:t>
      </w:r>
    </w:p>
    <w:p w14:paraId="50C4BBF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723" w:firstLineChars="200"/>
        <w:textAlignment w:val="auto"/>
      </w:pPr>
      <w:bookmarkStart w:id="22" w:name="_Toc25174"/>
      <w:r>
        <w:t>投资预算与财务预测</w:t>
      </w:r>
      <w:bookmarkEnd w:id="22"/>
    </w:p>
    <w:p w14:paraId="3E408AC4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02" w:firstLineChars="200"/>
        <w:textAlignment w:val="auto"/>
      </w:pPr>
      <w:bookmarkStart w:id="23" w:name="_Toc17696"/>
      <w:r>
        <w:t>资金需求与用途</w:t>
      </w:r>
      <w:bookmarkEnd w:id="23"/>
    </w:p>
    <w:p w14:paraId="670C2A57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本项目计划融资500万元人民币，出让10%的股权。资金主要用于以下几个方面：</w:t>
      </w:r>
    </w:p>
    <w:p w14:paraId="5606E517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技术研发（40%）：200万元，用于区块链底层开发、AI算法优化、服务器租赁、物联网设备采购。</w:t>
      </w:r>
    </w:p>
    <w:p w14:paraId="1091D895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市场推广（30%）：150万元，用于品牌建设、参加行业展会、渠道拓展、销售人员薪酬。</w:t>
      </w:r>
    </w:p>
    <w:p w14:paraId="6C68D2BE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运营团队（20%）：100万元，用于核心团队工资、办公场地租金、日常行政开支。</w:t>
      </w:r>
    </w:p>
    <w:p w14:paraId="43B5A5C3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预备金（10%）：50万元，用于应对不可预见的风险和机会。</w:t>
      </w:r>
    </w:p>
    <w:p w14:paraId="52763C93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02" w:firstLineChars="200"/>
        <w:textAlignment w:val="auto"/>
      </w:pPr>
      <w:bookmarkStart w:id="24" w:name="_Toc18881"/>
      <w:r>
        <w:t>财务预测（未来三年）</w:t>
      </w:r>
      <w:bookmarkEnd w:id="24"/>
    </w:p>
    <w:p w14:paraId="06A8782B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第一年（2027年）：</w:t>
      </w:r>
    </w:p>
    <w:p w14:paraId="66EBA24F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营业收入：300万元（主要来自硬件销售和SaaS订阅）</w:t>
      </w:r>
    </w:p>
    <w:p w14:paraId="3881B6A8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营业成本：200万元（硬件成本、服务器成本、人员工资）</w:t>
      </w:r>
    </w:p>
    <w:p w14:paraId="0762D19F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净利润：-100万元（处于投入期，亏损正常）</w:t>
      </w:r>
    </w:p>
    <w:p w14:paraId="587F9EFA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第二年（2028年）：</w:t>
      </w:r>
    </w:p>
    <w:p w14:paraId="4F0B3300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营业收入：1500万元（SaaS订阅收入增长，增值服务开始贡献收入）</w:t>
      </w:r>
    </w:p>
    <w:p w14:paraId="1D7F8016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营业成本：800万元（市场推广费用增加，团队规模扩大）</w:t>
      </w:r>
    </w:p>
    <w:p w14:paraId="7082CD4D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净利润：200万元（实现扭亏为盈）</w:t>
      </w:r>
    </w:p>
    <w:p w14:paraId="0B586945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第三年（2029年）：</w:t>
      </w:r>
    </w:p>
    <w:p w14:paraId="35DBB722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营业收入：4000万元（平台效应显现，数据服务费和交易佣金成为新增长点）</w:t>
      </w:r>
    </w:p>
    <w:p w14:paraId="575F246E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营业成本：2000万元（运营成本增加）</w:t>
      </w:r>
    </w:p>
    <w:p w14:paraId="62923AD3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净利润：1000万元（净利润率达到25%）</w:t>
      </w:r>
    </w:p>
    <w:p w14:paraId="2316217F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02" w:firstLineChars="200"/>
        <w:textAlignment w:val="auto"/>
      </w:pPr>
      <w:bookmarkStart w:id="25" w:name="_Toc9491"/>
      <w:r>
        <w:t>融资计划</w:t>
      </w:r>
      <w:bookmarkEnd w:id="25"/>
    </w:p>
    <w:p w14:paraId="19F3E5A2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天使轮（2026年）：融资500万元，用于产品开发和试点应用。</w:t>
      </w:r>
    </w:p>
    <w:p w14:paraId="23ACBB70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Pre-A轮（2027年）：融资2000万元，用于市场扩张和团队建设。</w:t>
      </w:r>
    </w:p>
    <w:p w14:paraId="4074CE85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A轮（2028年）：融资5000万元，用于生态构建和数据变现。</w:t>
      </w:r>
    </w:p>
    <w:p w14:paraId="1CC1731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723" w:firstLineChars="200"/>
        <w:textAlignment w:val="auto"/>
      </w:pPr>
      <w:bookmarkStart w:id="26" w:name="_Toc18159"/>
      <w:r>
        <w:t>风险评估与应对策略</w:t>
      </w:r>
      <w:bookmarkEnd w:id="26"/>
    </w:p>
    <w:p w14:paraId="696CF910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02" w:firstLineChars="200"/>
        <w:textAlignment w:val="auto"/>
      </w:pPr>
      <w:bookmarkStart w:id="27" w:name="_Toc14232"/>
      <w:r>
        <w:t>技术风险</w:t>
      </w:r>
      <w:bookmarkEnd w:id="27"/>
    </w:p>
    <w:p w14:paraId="139BBC8D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风险：区块链性能瓶颈导致交易延迟；AI算法在复杂环境下的识别准确率下降；物联网设备在野外环境下的稳定性不足。</w:t>
      </w:r>
    </w:p>
    <w:p w14:paraId="3969115E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应对：</w:t>
      </w:r>
    </w:p>
    <w:p w14:paraId="0DD02128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采用联盟链架构，通过分片技术和侧链机制提升吞吐量。</w:t>
      </w:r>
    </w:p>
    <w:p w14:paraId="23235EE0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持续收集田间数据，对AI模型进行迭代训练，提高鲁棒性。</w:t>
      </w:r>
    </w:p>
    <w:p w14:paraId="0F34C7BE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选用工业级防护等级的物联网设备，并建立设备巡检和维护机制。</w:t>
      </w:r>
    </w:p>
    <w:p w14:paraId="786123FA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02" w:firstLineChars="200"/>
        <w:textAlignment w:val="auto"/>
      </w:pPr>
      <w:bookmarkStart w:id="28" w:name="_Toc19921"/>
      <w:r>
        <w:t>市场风险</w:t>
      </w:r>
      <w:bookmarkEnd w:id="28"/>
    </w:p>
    <w:p w14:paraId="3181B25E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风险：农户对新技术的接受度低，推广难度大；大型科技公司（如阿里、京东）进入下沉市场，加剧竞争。</w:t>
      </w:r>
    </w:p>
    <w:p w14:paraId="7D94FCA8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应对：</w:t>
      </w:r>
    </w:p>
    <w:p w14:paraId="25C5BED4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采取“政府引导+企业示范+农户参与”的推广模式，通过政策补贴和标杆案例降低农户的尝试成本。</w:t>
      </w:r>
    </w:p>
    <w:p w14:paraId="33885E27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聚焦细分市场（特色农产品、中小农户），提供更具性价比和本地化服务的解决方案，与大厂形成差异化竞争。</w:t>
      </w:r>
    </w:p>
    <w:p w14:paraId="2BFF9544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02" w:firstLineChars="200"/>
        <w:textAlignment w:val="auto"/>
      </w:pPr>
      <w:bookmarkStart w:id="29" w:name="_Toc20916"/>
      <w:r>
        <w:t>运营风险</w:t>
      </w:r>
      <w:bookmarkEnd w:id="29"/>
    </w:p>
    <w:p w14:paraId="41AE4271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风险：数据采集不真实（如农户手动录入造假）；平台用户活跃度低，沦为“僵尸系统”。</w:t>
      </w:r>
    </w:p>
    <w:p w14:paraId="2E12754E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应对：</w:t>
      </w:r>
    </w:p>
    <w:p w14:paraId="31D32625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通过物联网设备自动采集关键数据，减少人工干预；建立数据审核机制，对异常数据进行预警和核查。</w:t>
      </w:r>
    </w:p>
    <w:p w14:paraId="5C17A60E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增加平台的互动性和实用性，如提供农技指导、市场行情、金融贷款等增值服务，提高用户粘性。</w:t>
      </w:r>
    </w:p>
    <w:p w14:paraId="16BBD1FD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02" w:firstLineChars="200"/>
        <w:textAlignment w:val="auto"/>
      </w:pPr>
      <w:bookmarkStart w:id="30" w:name="_Toc13523"/>
      <w:r>
        <w:t>政策与法律风险</w:t>
      </w:r>
      <w:bookmarkEnd w:id="30"/>
    </w:p>
    <w:p w14:paraId="2092E41A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风险：数据安全和隐私保护法规趋严，增加合规成本；农业政策调整影响项目方向。</w:t>
      </w:r>
    </w:p>
    <w:p w14:paraId="7AD815B2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应对：</w:t>
      </w:r>
    </w:p>
    <w:p w14:paraId="4A423102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格遵守《数据安全法》《个人信息保护法》，建立数据分类分级保护制度，采用隐私计算技术保护用户隐私。</w:t>
      </w:r>
    </w:p>
    <w:p w14:paraId="41391AB4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密切关注国家和地方农业政策动向，保持与政府部门的沟通，确保项目方向与政策导向一致。</w:t>
      </w:r>
    </w:p>
    <w:p w14:paraId="177F5EA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723" w:firstLineChars="200"/>
        <w:textAlignment w:val="auto"/>
      </w:pPr>
      <w:bookmarkStart w:id="31" w:name="_Toc14289"/>
      <w:r>
        <w:t>社会效益与可持续发展</w:t>
      </w:r>
      <w:bookmarkEnd w:id="31"/>
    </w:p>
    <w:p w14:paraId="29EC28BA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02" w:firstLineChars="200"/>
        <w:textAlignment w:val="auto"/>
      </w:pPr>
      <w:bookmarkStart w:id="32" w:name="_Toc32689"/>
      <w:r>
        <w:t>社会效益</w:t>
      </w:r>
      <w:bookmarkEnd w:id="32"/>
    </w:p>
    <w:p w14:paraId="33BCC847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保障食品安全：通过全流程溯源，让消费者“买得放心、吃得安心”，提升全社会食品安全水平。</w:t>
      </w:r>
    </w:p>
    <w:p w14:paraId="351205EF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助力乡村振兴：帮助小农户对接大市场，实现优质优价，预计可使农户年均增收15%以上，带动农村就业。</w:t>
      </w:r>
    </w:p>
    <w:p w14:paraId="0B068DE8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推动农业现代化：通过数字化手段，提升农业生产效率和科学化水平，培养一批懂技术、会经营的新型职业农民。</w:t>
      </w:r>
    </w:p>
    <w:p w14:paraId="31F279F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02" w:firstLineChars="200"/>
        <w:textAlignment w:val="auto"/>
      </w:pPr>
      <w:bookmarkStart w:id="33" w:name="_Toc29620"/>
      <w:r>
        <w:t>生态效益</w:t>
      </w:r>
      <w:bookmarkEnd w:id="33"/>
    </w:p>
    <w:p w14:paraId="732A4BC8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减少化肥农药使用：通过AI精准施肥和病虫害预警，指导农户科学用药，预计可减少化肥农药使用量20%-30%，保护生态环境。</w:t>
      </w:r>
    </w:p>
    <w:p w14:paraId="143FDF4D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促进农业低碳发展：通过碳足迹核算，帮助农户和企业了解产品的碳排放情况，推动绿色生产方式的普及，助力“双碳”目标实现。</w:t>
      </w:r>
    </w:p>
    <w:p w14:paraId="7016C138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602" w:firstLineChars="200"/>
        <w:textAlignment w:val="auto"/>
      </w:pPr>
      <w:bookmarkStart w:id="34" w:name="_Toc14900"/>
      <w:r>
        <w:t>可持续发展</w:t>
      </w:r>
      <w:bookmarkEnd w:id="34"/>
    </w:p>
    <w:p w14:paraId="42271AEF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模式可复制：项目采用标准化的SaaS平台和模块化的硬件设备，可快速复制到其他地区和农产品品类。</w:t>
      </w:r>
    </w:p>
    <w:p w14:paraId="4F10A687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生态可进化：平台开放API接口，吸引第三方开发者和合作伙伴加入，共同构建农业数字化生态，实现互利共赢。</w:t>
      </w:r>
    </w:p>
    <w:p w14:paraId="7FC0D4EE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8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82" w:leftChars="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b w:val="0"/>
          <w:i w:val="0"/>
          <w:strike w:val="0"/>
          <w:color w:val="auto"/>
          <w:u w:val="none"/>
        </w:rPr>
        <w:t>数据可增值：随着数据积累，平台可挖掘出更多商业价值，如农业保险定价、农产品期货预测等，形成良性循环。</w:t>
      </w:r>
    </w:p>
    <w:p w14:paraId="5C20A8F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723" w:firstLineChars="200"/>
        <w:textAlignment w:val="auto"/>
      </w:pPr>
      <w:bookmarkStart w:id="35" w:name="_Toc11980"/>
      <w:r>
        <w:t>结论</w:t>
      </w:r>
      <w:bookmarkEnd w:id="35"/>
    </w:p>
    <w:p w14:paraId="34B39439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691"/>
        </w:tabs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80" w:firstLineChars="200"/>
        <w:textAlignment w:val="auto"/>
        <w:rPr>
          <w:rFonts w:hint="eastAsia"/>
          <w:b w:val="0"/>
          <w:i w:val="0"/>
          <w:strike w:val="0"/>
          <w:color w:val="auto"/>
          <w:u w:val="none"/>
        </w:rPr>
      </w:pPr>
      <w:r>
        <w:rPr>
          <w:rFonts w:hint="eastAsia"/>
          <w:b w:val="0"/>
          <w:i w:val="0"/>
          <w:strike w:val="0"/>
          <w:color w:val="auto"/>
          <w:u w:val="none"/>
        </w:rPr>
        <w:t>启元农链是一个基于人工智能、区块链和物联网技术的农产品全链路数字化溯源平台，旨在解决传统农业产业链中信息不透明、品质难保障、信任成本高等核心痛点。项目采用Spring Boot 4.0.3、JDK 21、Vue 2等成熟技术栈，深度融合DeepSeek AI引擎实现病虫害识别、产量预测、视觉质检和市场预测等智能化功能，通过区块链存证确保数据不可篡改，利用物联网设备实时采集环境参数，构建从种植、加工、物流到销售的全生命周期可信溯源体系。系统包含基础数据管理、种植与加工管理、物流与销售管理、系统与存证管理、增值服务模块和首页工作台六大核心模块，共计36个功能点和30张业务数据表，当前整体开发完成度达90%，已进入联调验收阶段，预计2026年10月正式上线运营。</w:t>
      </w:r>
    </w:p>
    <w:p w14:paraId="12368188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691"/>
        </w:tabs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80" w:firstLineChars="200"/>
        <w:textAlignment w:val="auto"/>
        <w:rPr>
          <w:rFonts w:hint="eastAsia"/>
          <w:b w:val="0"/>
          <w:i w:val="0"/>
          <w:strike w:val="0"/>
          <w:color w:val="auto"/>
          <w:u w:val="none"/>
        </w:rPr>
      </w:pPr>
      <w:r>
        <w:rPr>
          <w:rFonts w:hint="eastAsia"/>
          <w:b w:val="0"/>
          <w:i w:val="0"/>
          <w:strike w:val="0"/>
          <w:color w:val="auto"/>
          <w:u w:val="none"/>
        </w:rPr>
        <w:t>项目面向农业企业、合作社、加工厂、物流企业、电商平台及政府监管部门等B端和G端客户，通过SaaS订阅费、溯源服务费、增值服务费和政府项目补贴等多元化收入模式实现盈利，首年目标签约50家企业实现营收280万元，三年拓展至500家企业达到营收2,500万元并实现净利润750万元，投资回收期2.5年，三年投资回报率160%。项目计划融资500万元用于技术研发、市场推广和团队建设，资金主要用于人力成本（48%）、技术研发（16%）和市场推广（20%），盈亏平衡点为签约188家企业，预计在第2年第二季度实现。</w:t>
      </w:r>
    </w:p>
    <w:p w14:paraId="7B14CA71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691"/>
        </w:tabs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80" w:firstLineChars="200"/>
        <w:textAlignment w:val="auto"/>
        <w:rPr>
          <w:rFonts w:hint="eastAsia"/>
          <w:b w:val="0"/>
          <w:i w:val="0"/>
          <w:strike w:val="0"/>
          <w:color w:val="auto"/>
          <w:u w:val="none"/>
        </w:rPr>
      </w:pPr>
      <w:r>
        <w:rPr>
          <w:rFonts w:hint="eastAsia"/>
          <w:b w:val="0"/>
          <w:i w:val="0"/>
          <w:strike w:val="0"/>
          <w:color w:val="auto"/>
          <w:u w:val="none"/>
        </w:rPr>
        <w:t>市场竞争方面，中国农产品溯源市场规模2025年预计达300亿元且年均增长率超过25%，虽然存在阿里蚂蚁链、京东智臻链等竞争对手，但启元农链凭借高性价比、本地化服务、丰富的增值服务和开放生态形成差异化竞争优势。项目团队由12名核心成员组成，涵盖技术开发、产品设计、运营推广和商务拓展等完整职能，基础设施包括应用服务器、数据库服务器、Redis缓存和IoT设备等完善配置。已识别并制定应对措施的风险包括传感器协议不统一、AI模型效果不稳定、业务需求扩散、API密钥安全和市场竞争加剧等高优先级风险，同时已关闭18项技术和实施层面的历史风险。</w:t>
      </w:r>
    </w:p>
    <w:p w14:paraId="79381E29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691"/>
        </w:tabs>
        <w:kinsoku/>
        <w:wordWrap/>
        <w:overflowPunct/>
        <w:topLinePunct w:val="0"/>
        <w:autoSpaceDE/>
        <w:autoSpaceDN/>
        <w:bidi w:val="0"/>
        <w:adjustRightInd/>
        <w:snapToGrid/>
        <w:ind w:leftChars="200" w:firstLine="480" w:firstLineChars="200"/>
        <w:textAlignment w:val="auto"/>
        <w:rPr>
          <w:b w:val="0"/>
          <w:i w:val="0"/>
          <w:strike w:val="0"/>
          <w:color w:val="auto"/>
          <w:u w:val="none"/>
        </w:rPr>
      </w:pPr>
      <w:r>
        <w:rPr>
          <w:rFonts w:hint="eastAsia"/>
          <w:b w:val="0"/>
          <w:i w:val="0"/>
          <w:strike w:val="0"/>
          <w:color w:val="auto"/>
          <w:u w:val="none"/>
        </w:rPr>
        <w:t>项目具有显著的社会价值，通过提升食品安全透明度保障消费者权益，助力乡村振兴带动农户增收20%-50%，推动精准农业减少化肥农药使用15%-30%以支持双碳目标，同时创造就业机会缩小城乡数字鸿沟。短期目标是完成联调验收并打造2-3个标杆案例，中期目标是规模化推广至200家企业实现盈亏平衡并启动Pre-A轮融资，长期目标是服务1,000家以上企业探索海外市场并启动IPO准备，最终成为中国智慧农业溯源领域的领军企业，为数亿消费者提供安全放心的农产品，为千万农户创造更大价值，为中国农业现代化贡献科技力量。</w:t>
      </w:r>
    </w:p>
    <w:sectPr>
      <w:pgSz w:w="11900" w:h="15840"/>
      <w:pgMar w:top="1417" w:right="1134" w:bottom="1134" w:left="1701" w:header="720" w:footer="720" w:gutter="0"/>
      <w:cols w:space="0" w:num="1"/>
      <w:rtlGutter w:val="0"/>
      <w:docGrid w:linePitch="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C1FF3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84624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E4E0EE"/>
    <w:multiLevelType w:val="multilevel"/>
    <w:tmpl w:val="D3E4E0EE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ulTrailSpace/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343D45D4"/>
    <w:rsid w:val="5CC32B93"/>
    <w:rsid w:val="72C4645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next w:val="1"/>
    <w:qFormat/>
    <w:uiPriority w:val="0"/>
    <w:pPr>
      <w:keepNext w:val="0"/>
      <w:keepLines w:val="0"/>
      <w:widowControl w:val="0"/>
      <w:numPr>
        <w:ilvl w:val="0"/>
        <w:numId w:val="1"/>
      </w:numPr>
      <w:spacing w:before="240" w:beforeLines="0" w:after="120" w:line="360" w:lineRule="auto"/>
      <w:jc w:val="left"/>
      <w:outlineLvl w:val="0"/>
    </w:pPr>
    <w:rPr>
      <w:rFonts w:ascii="宋体" w:hAnsi="宋体" w:eastAsia="黑体" w:cs="宋体"/>
      <w:b/>
      <w:bCs/>
      <w:kern w:val="44"/>
      <w:sz w:val="36"/>
      <w:szCs w:val="30"/>
    </w:rPr>
  </w:style>
  <w:style w:type="paragraph" w:styleId="3">
    <w:name w:val="heading 2"/>
    <w:next w:val="1"/>
    <w:unhideWhenUsed/>
    <w:qFormat/>
    <w:uiPriority w:val="0"/>
    <w:pPr>
      <w:keepNext w:val="0"/>
      <w:keepLines w:val="0"/>
      <w:widowControl w:val="0"/>
      <w:numPr>
        <w:ilvl w:val="1"/>
        <w:numId w:val="1"/>
      </w:numPr>
      <w:spacing w:beforeAutospacing="0" w:after="120" w:afterAutospacing="0" w:line="360" w:lineRule="auto"/>
      <w:jc w:val="left"/>
      <w:outlineLvl w:val="1"/>
    </w:pPr>
    <w:rPr>
      <w:rFonts w:ascii="Times New Roman" w:hAnsi="Times New Roman" w:eastAsia="黑体" w:cs="Times New Roman"/>
      <w:b/>
      <w:sz w:val="30"/>
    </w:rPr>
  </w:style>
  <w:style w:type="paragraph" w:styleId="4">
    <w:name w:val="heading 3"/>
    <w:next w:val="1"/>
    <w:unhideWhenUsed/>
    <w:qFormat/>
    <w:uiPriority w:val="0"/>
    <w:pPr>
      <w:keepNext w:val="0"/>
      <w:keepLines w:val="0"/>
      <w:widowControl w:val="0"/>
      <w:numPr>
        <w:ilvl w:val="2"/>
        <w:numId w:val="1"/>
      </w:numPr>
      <w:spacing w:beforeAutospacing="0" w:after="120" w:afterAutospacing="0" w:line="360" w:lineRule="auto"/>
      <w:ind w:firstLine="400"/>
      <w:jc w:val="left"/>
      <w:outlineLvl w:val="2"/>
    </w:pPr>
    <w:rPr>
      <w:rFonts w:ascii="Times New Roman" w:hAnsi="Times New Roman" w:eastAsia="宋体" w:cs="Times New Roman"/>
      <w:b/>
      <w:sz w:val="24"/>
    </w:rPr>
  </w:style>
  <w:style w:type="paragraph" w:styleId="5">
    <w:name w:val="heading 4"/>
    <w:next w:val="1"/>
    <w:semiHidden/>
    <w:unhideWhenUsed/>
    <w:qFormat/>
    <w:uiPriority w:val="0"/>
    <w:pPr>
      <w:keepNext w:val="0"/>
      <w:keepLines w:val="0"/>
      <w:widowControl w:val="0"/>
      <w:numPr>
        <w:ilvl w:val="3"/>
        <w:numId w:val="1"/>
      </w:numPr>
      <w:spacing w:beforeAutospacing="0" w:after="120" w:afterAutospacing="0" w:line="360" w:lineRule="auto"/>
      <w:ind w:firstLine="402"/>
      <w:outlineLvl w:val="3"/>
    </w:pPr>
    <w:rPr>
      <w:rFonts w:ascii="Times New Roman" w:hAnsi="Times New Roman" w:eastAsia="宋体" w:cs="Times New Roman"/>
      <w:sz w:val="24"/>
    </w:rPr>
  </w:style>
  <w:style w:type="paragraph" w:styleId="6">
    <w:name w:val="heading 5"/>
    <w:next w:val="1"/>
    <w:semiHidden/>
    <w:unhideWhenUsed/>
    <w:qFormat/>
    <w:uiPriority w:val="0"/>
    <w:pPr>
      <w:keepNext w:val="0"/>
      <w:keepLines w:val="0"/>
      <w:widowControl w:val="0"/>
      <w:numPr>
        <w:ilvl w:val="4"/>
        <w:numId w:val="1"/>
      </w:numPr>
      <w:spacing w:beforeLines="0" w:beforeAutospacing="0" w:after="120" w:afterLines="0" w:afterAutospacing="0" w:line="440" w:lineRule="exact"/>
      <w:ind w:firstLine="402"/>
      <w:jc w:val="left"/>
      <w:outlineLvl w:val="4"/>
    </w:pPr>
    <w:rPr>
      <w:rFonts w:ascii="Times New Roman" w:hAnsi="Times New Roman" w:eastAsia="宋体" w:cs="Times New Roman"/>
      <w:sz w:val="24"/>
    </w:rPr>
  </w:style>
  <w:style w:type="paragraph" w:styleId="7">
    <w:name w:val="heading 6"/>
    <w:next w:val="1"/>
    <w:semiHidden/>
    <w:unhideWhenUsed/>
    <w:qFormat/>
    <w:uiPriority w:val="0"/>
    <w:pPr>
      <w:keepNext w:val="0"/>
      <w:keepLines w:val="0"/>
      <w:widowControl w:val="0"/>
      <w:numPr>
        <w:ilvl w:val="5"/>
        <w:numId w:val="1"/>
      </w:numPr>
      <w:spacing w:beforeLines="0" w:beforeAutospacing="0" w:after="120" w:afterLines="0" w:afterAutospacing="0" w:line="360" w:lineRule="auto"/>
      <w:ind w:firstLine="402"/>
      <w:jc w:val="left"/>
      <w:outlineLvl w:val="5"/>
    </w:pPr>
    <w:rPr>
      <w:rFonts w:ascii="Times New Roman" w:hAnsi="Times New Roman" w:eastAsia="宋体" w:cs="Times New Roman"/>
      <w:sz w:val="24"/>
    </w:rPr>
  </w:style>
  <w:style w:type="paragraph" w:styleId="8">
    <w:name w:val="heading 7"/>
    <w:next w:val="1"/>
    <w:semiHidden/>
    <w:unhideWhenUsed/>
    <w:qFormat/>
    <w:uiPriority w:val="0"/>
    <w:pPr>
      <w:keepNext w:val="0"/>
      <w:keepLines w:val="0"/>
      <w:widowControl w:val="0"/>
      <w:numPr>
        <w:ilvl w:val="6"/>
        <w:numId w:val="1"/>
      </w:numPr>
      <w:spacing w:beforeLines="0" w:beforeAutospacing="0" w:after="120" w:afterLines="0" w:afterAutospacing="0" w:line="360" w:lineRule="auto"/>
      <w:ind w:firstLine="402"/>
      <w:jc w:val="left"/>
      <w:outlineLvl w:val="6"/>
    </w:pPr>
    <w:rPr>
      <w:rFonts w:ascii="Times New Roman" w:hAnsi="Times New Roman" w:eastAsia="宋体" w:cs="Times New Roman"/>
      <w:sz w:val="24"/>
    </w:rPr>
  </w:style>
  <w:style w:type="paragraph" w:styleId="9">
    <w:name w:val="heading 8"/>
    <w:next w:val="1"/>
    <w:semiHidden/>
    <w:unhideWhenUsed/>
    <w:qFormat/>
    <w:uiPriority w:val="0"/>
    <w:pPr>
      <w:keepNext w:val="0"/>
      <w:keepLines w:val="0"/>
      <w:widowControl w:val="0"/>
      <w:numPr>
        <w:ilvl w:val="7"/>
        <w:numId w:val="1"/>
      </w:numPr>
      <w:spacing w:beforeLines="0" w:beforeAutospacing="0" w:after="120" w:afterLines="0" w:afterAutospacing="0" w:line="360" w:lineRule="auto"/>
      <w:ind w:firstLine="402"/>
      <w:jc w:val="left"/>
      <w:outlineLvl w:val="7"/>
    </w:pPr>
    <w:rPr>
      <w:rFonts w:ascii="Times New Roman" w:hAnsi="Times New Roman" w:eastAsia="宋体" w:cs="Times New Roman"/>
      <w:sz w:val="24"/>
    </w:rPr>
  </w:style>
  <w:style w:type="paragraph" w:styleId="10">
    <w:name w:val="heading 9"/>
    <w:next w:val="1"/>
    <w:semiHidden/>
    <w:unhideWhenUsed/>
    <w:qFormat/>
    <w:uiPriority w:val="0"/>
    <w:pPr>
      <w:keepNext w:val="0"/>
      <w:keepLines w:val="0"/>
      <w:widowControl w:val="0"/>
      <w:numPr>
        <w:ilvl w:val="8"/>
        <w:numId w:val="1"/>
      </w:numPr>
      <w:spacing w:beforeLines="0" w:beforeAutospacing="0" w:after="120" w:afterLines="0" w:afterAutospacing="0" w:line="360" w:lineRule="auto"/>
      <w:ind w:firstLine="402"/>
      <w:jc w:val="left"/>
      <w:outlineLvl w:val="8"/>
    </w:pPr>
    <w:rPr>
      <w:rFonts w:ascii="Times New Roman" w:hAnsi="Times New Roman" w:eastAsia="宋体" w:cs="Times New Roman"/>
      <w:sz w:val="24"/>
    </w:rPr>
  </w:style>
  <w:style w:type="character" w:default="1" w:styleId="17">
    <w:name w:val="Default Paragraph Font"/>
    <w:semiHidden/>
    <w:qFormat/>
    <w:uiPriority w:val="0"/>
  </w:style>
  <w:style w:type="table" w:default="1" w:styleId="1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spacing w:after="120" w:afterAutospacing="0" w:line="360" w:lineRule="auto"/>
      <w:ind w:firstLine="420" w:firstLineChars="200"/>
    </w:pPr>
    <w:rPr>
      <w:rFonts w:ascii="Times New Roman" w:hAnsi="Times New Roman" w:eastAsia="宋体" w:cs="Times New Roman"/>
      <w:sz w:val="24"/>
    </w:rPr>
  </w:style>
  <w:style w:type="paragraph" w:styleId="12">
    <w:name w:val="toc 1"/>
    <w:basedOn w:val="1"/>
    <w:next w:val="1"/>
    <w:uiPriority w:val="0"/>
  </w:style>
  <w:style w:type="paragraph" w:styleId="13">
    <w:name w:val="Subtitle"/>
    <w:qFormat/>
    <w:uiPriority w:val="0"/>
    <w:pPr>
      <w:widowControl w:val="0"/>
      <w:spacing w:beforeLines="0" w:beforeAutospacing="0" w:after="240" w:afterLines="0" w:afterAutospacing="0" w:line="240" w:lineRule="auto"/>
      <w:jc w:val="center"/>
      <w:outlineLvl w:val="9"/>
    </w:pPr>
    <w:rPr>
      <w:rFonts w:ascii="Times New Roman" w:hAnsi="Times New Roman" w:eastAsia="宋体" w:cs="Times New Roman"/>
      <w:kern w:val="28"/>
      <w:sz w:val="21"/>
    </w:rPr>
  </w:style>
  <w:style w:type="paragraph" w:styleId="14">
    <w:name w:val="toc 2"/>
    <w:basedOn w:val="1"/>
    <w:next w:val="1"/>
    <w:qFormat/>
    <w:uiPriority w:val="0"/>
    <w:pPr>
      <w:ind w:left="420" w:leftChars="200"/>
    </w:pPr>
  </w:style>
  <w:style w:type="paragraph" w:styleId="15">
    <w:name w:val="Title"/>
    <w:qFormat/>
    <w:uiPriority w:val="0"/>
    <w:pPr>
      <w:spacing w:before="240" w:beforeAutospacing="0" w:after="240" w:afterAutospacing="0" w:line="240" w:lineRule="auto"/>
      <w:jc w:val="center"/>
      <w:outlineLvl w:val="9"/>
    </w:pPr>
    <w:rPr>
      <w:rFonts w:ascii="Times New Roman" w:hAnsi="Times New Roman" w:eastAsia="宋体" w:cs="Times New Roman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8028</Words>
  <Characters>8461</Characters>
  <TotalTime>59</TotalTime>
  <ScaleCrop>false</ScaleCrop>
  <LinksUpToDate>false</LinksUpToDate>
  <CharactersWithSpaces>8629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2026-04-16T02:44:00Z</dcterms:created>
  <dc:creator>Apache POI</dc:creator>
  <cp:lastModifiedBy>sjh-z'k‘l'</cp:lastModifiedBy>
  <dcterms:modified xsi:type="dcterms:W3CDTF">2026-04-16T03:47:02Z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ACQ6hHOgnL5fKyRBx57Zs1kHZJQyYqz3JmP0g7GXO68=","ProduceID":"doc_sgs:74e28d0b-6d12-4e77-ac33-de944c8d7c2d","ReservedCode2":"ACQ6hHOgnL5fKyRBx57Zs1kHZJQyYqz3JmP0g7GXO68=","PropagateID":"doc_sgs:74e28d0b-6d12-4e77-ac33-de944c8d7c2d","ContentProducer":"001191440101MA9Y9T4H7A00000"}</vt:lpwstr>
  </property>
  <property fmtid="{D5CDD505-2E9C-101B-9397-08002B2CF9AE}" pid="3" name="KSOTemplateDocerSaveRecord">
    <vt:lpwstr>eyJoZGlkIjoiMmIyYmRhMjg2NjkyZTA4MDNhMDlhNDZkMmU1MjVhMGUiLCJ1c2VySWQiOiIxMzYxNTQxNzI1In0=</vt:lpwstr>
  </property>
  <property fmtid="{D5CDD505-2E9C-101B-9397-08002B2CF9AE}" pid="4" name="KSOProductBuildVer">
    <vt:lpwstr>2052-12.1.0.25225</vt:lpwstr>
  </property>
  <property fmtid="{D5CDD505-2E9C-101B-9397-08002B2CF9AE}" pid="5" name="ICV">
    <vt:lpwstr>BC7BA3135308472EA4664174E2438B91_13</vt:lpwstr>
  </property>
</Properties>
</file>