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Twelve Key Themes of the Year</w:t>
      </w:r>
    </w:p>
    <w:p>
      <w:r>
        <w:t>Open by explaining what year-scale chronology reveals that daily coverage often misses: recurrence, reinforcement, and governing method. Establish that the twelve themes are not isolated topics but overlapping patterns that became unmistakable only when the weeks were allowed to accumulate.</w:t>
      </w:r>
    </w:p>
    <w:p>
      <w:pPr>
        <w:pStyle w:val="Heading2"/>
      </w:pPr>
      <w:r>
        <w:t>Executive Overreach</w:t>
      </w:r>
    </w:p>
    <w:p>
      <w:r>
        <w:t>The recurrent use of unilateral executive action to outrun deliberation, oversight, and normal institutional process.</w:t>
      </w:r>
    </w:p>
    <w:p>
      <w:r>
        <w:t>Show that overreach was not one isolated constitutional dispute but a recurring operating habit. Emphasize unilateral directives, emergency-style reasoning, appropriation conflicts, administrative repurposing, and the repeated effort to act first while forcing Congress, the courts, and the public to respond after the fact.</w:t>
      </w:r>
    </w:p>
    <w:p>
      <w:r>
        <w:rPr>
          <w:b/>
        </w:rPr>
        <w:t xml:space="preserve">Recurring forms: </w:t>
      </w:r>
      <w:r>
        <w:t>Circumvention of Oversight; Emergency or Exceptional Powers; Usurpation of Other Powers; Administrative Commandeering; After-the-Fact Governance.</w:t>
      </w:r>
    </w:p>
    <w:p>
      <w:r>
        <w:rPr>
          <w:b/>
        </w:rPr>
        <w:t xml:space="preserve">Illustrative weeks for drafting focus: </w:t>
      </w:r>
      <w:r>
        <w:t>Week 1, Week 3, Week 12, Week 27, Week 44.</w:t>
      </w:r>
    </w:p>
    <w:p>
      <w:r>
        <w:t>That overreach rarely operated alone. It depended on who could enter the state, who could staff it, and whose interests the machinery of government increasingly served.</w:t>
      </w:r>
    </w:p>
    <w:p>
      <w:pPr>
        <w:pStyle w:val="Heading2"/>
      </w:pPr>
      <w:r>
        <w:t>Executive–Private Fusion</w:t>
      </w:r>
    </w:p>
    <w:p>
      <w:r>
        <w:t>Private actors, business interests, and loyalist networks became embedded in state power rather than kept at arm’s length from it.</w:t>
      </w:r>
    </w:p>
    <w:p>
      <w:r>
        <w:t>Explain how the year blurred the boundary between public authority and private leverage: outside actors inside state functions, patronage logic, informal channels of influence, and quasi-outsourced control. Stress that the democratic danger lies not only in corruption narrowly understood, but in the erosion of accountable state structure.</w:t>
      </w:r>
    </w:p>
    <w:p>
      <w:r>
        <w:rPr>
          <w:b/>
        </w:rPr>
        <w:t xml:space="preserve">Recurring forms: </w:t>
      </w:r>
      <w:r>
        <w:t>Private Actors Inside State Functions; Patronage and Self-Dealing; Informal Power Channels; Outsourced Coercion or Control.</w:t>
      </w:r>
    </w:p>
    <w:p>
      <w:r>
        <w:rPr>
          <w:b/>
        </w:rPr>
        <w:t xml:space="preserve">Illustrative weeks for drafting focus: </w:t>
      </w:r>
      <w:r>
        <w:t>Week 3, Week 9, Week 22, Week 38.</w:t>
      </w:r>
    </w:p>
    <w:p>
      <w:r>
        <w:t>Once public and private power blur, the law itself becomes easier to bend — not only in who is protected, but in what enforcement is for.</w:t>
      </w:r>
    </w:p>
    <w:p>
      <w:pPr>
        <w:pStyle w:val="Heading2"/>
      </w:pPr>
      <w:r>
        <w:t>Rule-of-Law Inversion</w:t>
      </w:r>
    </w:p>
    <w:p>
      <w:r>
        <w:t>Independent enforcement was recast as partisan abuse while allies were shielded and opponents were targeted.</w:t>
      </w:r>
    </w:p>
    <w:p>
      <w:r>
        <w:t>Show that the issue was not just legal controversy, but inversion: allies protected, opponents targeted, corruption control reframed as persecution, and enforcement redirected by grievance and loyalty. Make clear that this challenged the premise that law should stand above the ruler rather than serve him.</w:t>
      </w:r>
    </w:p>
    <w:p>
      <w:r>
        <w:rPr>
          <w:b/>
        </w:rPr>
        <w:t xml:space="preserve">Recurring forms: </w:t>
      </w:r>
      <w:r>
        <w:t>Protection of Allies; Targeting of Opponents; Politicization of Enforcement; Corruption Control as Persecution; Law as Deterrent Theater.</w:t>
      </w:r>
    </w:p>
    <w:p>
      <w:r>
        <w:rPr>
          <w:b/>
        </w:rPr>
        <w:t xml:space="preserve">Illustrative weeks for drafting focus: </w:t>
      </w:r>
      <w:r>
        <w:t>Week 3, Week 14, Week 29, Week 45.</w:t>
      </w:r>
    </w:p>
    <w:p>
      <w:r>
        <w:t>To bend the law this way, it was not enough to pressure prosecutors. The bureaucracy itself had to be reshaped.</w:t>
      </w:r>
    </w:p>
    <w:p>
      <w:pPr>
        <w:pStyle w:val="Heading2"/>
      </w:pPr>
      <w:r>
        <w:t>Civil Service as Target and Terrain</w:t>
      </w:r>
    </w:p>
    <w:p>
      <w:r>
        <w:t>The professional bureaucracy was weakened, politicized, or hollowed out so it could be replaced by loyalists, contractors, or fear-driven compliance.</w:t>
      </w:r>
    </w:p>
    <w:p>
      <w:r>
        <w:t>Explain why the civil service mattered so much: purges, reclassification, capacity hollowing, and fear-driven compliance were not HR disputes but a struggle over whether government would still run through expertise and continuity rather than obedience.</w:t>
      </w:r>
    </w:p>
    <w:p>
      <w:r>
        <w:rPr>
          <w:b/>
        </w:rPr>
        <w:t xml:space="preserve">Recurring forms: </w:t>
      </w:r>
      <w:r>
        <w:t>Purges and Removals; Reclassification and Loyalty Redesign; Capacity Hollowing; Fear-Driven Compliance.</w:t>
      </w:r>
    </w:p>
    <w:p>
      <w:r>
        <w:rPr>
          <w:b/>
        </w:rPr>
        <w:t xml:space="preserve">Illustrative weeks for drafting focus: </w:t>
      </w:r>
      <w:r>
        <w:t>Week 2, Week 7, Week 18, Week 36.</w:t>
      </w:r>
    </w:p>
    <w:p>
      <w:r>
        <w:t>Once expertise is weakened and continuity broken, control over information becomes easier, and institutional memory more vulnerable.</w:t>
      </w:r>
    </w:p>
    <w:p>
      <w:pPr>
        <w:pStyle w:val="Heading2"/>
      </w:pPr>
      <w:r>
        <w:t>Information and Memory Control</w:t>
      </w:r>
    </w:p>
    <w:p>
      <w:r>
        <w:t>Data, history, media access, and the public factual baseline were repeatedly manipulated as instruments of power.</w:t>
      </w:r>
    </w:p>
    <w:p>
      <w:r>
        <w:t>Describe how records, history, media access, and factual baselines were repeatedly manipulated. Emphasize that democracy requires not only elections and institutions, but a shared world of knowable facts and public memory. This theme should feel as central to self-government as any legal or administrative struggle.</w:t>
      </w:r>
    </w:p>
    <w:p>
      <w:r>
        <w:rPr>
          <w:b/>
        </w:rPr>
        <w:t xml:space="preserve">Recurring forms: </w:t>
      </w:r>
      <w:r>
        <w:t>Record Erasure or Suppression; History Rewriting; Media Access Manipulation; Factual Baseline Destabilization.</w:t>
      </w:r>
    </w:p>
    <w:p>
      <w:r>
        <w:rPr>
          <w:b/>
        </w:rPr>
        <w:t xml:space="preserve">Illustrative weeks for drafting focus: </w:t>
      </w:r>
      <w:r>
        <w:t>Week 3, Week 11, Week 26, Week 41.</w:t>
      </w:r>
    </w:p>
    <w:p>
      <w:r>
        <w:t>A government that bends reality also has strong incentives to weaken those who might publicly contradict it.</w:t>
      </w:r>
    </w:p>
    <w:p>
      <w:pPr>
        <w:pStyle w:val="Heading2"/>
      </w:pPr>
      <w:r>
        <w:t>Attacks on Dissent</w:t>
      </w:r>
    </w:p>
    <w:p>
      <w:r>
        <w:t>Speech, protest, academic independence, and civil-society opposition were treated as threats to be chilled, punished, or administratively constrained.</w:t>
      </w:r>
    </w:p>
    <w:p>
      <w:r>
        <w:t>Explain that dissent came under pressure through campus conflicts, media intimidation, public broadcasting battles, protest crackdowns, visa threats, and administrative retaliation. Stress that the issue is not only formal censorship but the repeated raising of the cost of opposition.</w:t>
      </w:r>
    </w:p>
    <w:p>
      <w:r>
        <w:rPr>
          <w:b/>
        </w:rPr>
        <w:t xml:space="preserve">Recurring forms: </w:t>
      </w:r>
      <w:r>
        <w:t>Protest Criminalization or Chilling; Academic and Campus Pressure; Media and Civil Society Intimidation; Administrative Retaliation for Criticism.</w:t>
      </w:r>
    </w:p>
    <w:p>
      <w:r>
        <w:rPr>
          <w:b/>
        </w:rPr>
        <w:t xml:space="preserve">Illustrative weeks for drafting focus: </w:t>
      </w:r>
      <w:r>
        <w:t>Week 10, Week 19, Week 31, Week 48.</w:t>
      </w:r>
    </w:p>
    <w:p>
      <w:r>
        <w:t>Once opposition is cast as threat, unequal punishment becomes easier to justify and harder to hide.</w:t>
      </w:r>
    </w:p>
    <w:p>
      <w:pPr>
        <w:pStyle w:val="Heading2"/>
      </w:pPr>
      <w:r>
        <w:t>Selective Enforcement</w:t>
      </w:r>
    </w:p>
    <w:p>
      <w:r>
        <w:t>State power was applied unevenly depending on loyalty, vulnerability, usefulness, or ideological fit.</w:t>
      </w:r>
    </w:p>
    <w:p>
      <w:r>
        <w:t>Distinguish selective enforcement from general harshness. The issue is asymmetry: vulnerability targeted, allies treated differently, ideology shaping response, and a few visible cases turned into warnings for many. Emphasize that equal citizenship begins to erode when punishment becomes patterned in this way.</w:t>
      </w:r>
    </w:p>
    <w:p>
      <w:r>
        <w:rPr>
          <w:b/>
        </w:rPr>
        <w:t xml:space="preserve">Recurring forms: </w:t>
      </w:r>
      <w:r>
        <w:t>Vulnerability Targeting; Loyalty-Based Lenience; Ideological Asymmetry; Deterrent Example-Making.</w:t>
      </w:r>
    </w:p>
    <w:p>
      <w:r>
        <w:rPr>
          <w:b/>
        </w:rPr>
        <w:t xml:space="preserve">Illustrative weeks for drafting focus: </w:t>
      </w:r>
      <w:r>
        <w:t>Week 8, Week 17, Week 30, Week 46.</w:t>
      </w:r>
    </w:p>
    <w:p>
      <w:r>
        <w:t>No policy field tested that asymmetry more fully, or more often, than immigration.</w:t>
      </w:r>
    </w:p>
    <w:p>
      <w:pPr>
        <w:pStyle w:val="Heading2"/>
      </w:pPr>
      <w:r>
        <w:t>Immigration as a Test Case for Power</w:t>
      </w:r>
    </w:p>
    <w:p>
      <w:r>
        <w:t>Immigration became the proving ground for exceptional powers, reduced due process, and coercive governance at scale.</w:t>
      </w:r>
    </w:p>
    <w:p>
      <w:r>
        <w:t>Explain how detention, expulsion, reduced due process, exceptional authority claims, and constitutional spillover made immigration a proving ground for wider exercises of power. Stress that what begins in immigration rarely stays in immigration.</w:t>
      </w:r>
    </w:p>
    <w:p>
      <w:r>
        <w:rPr>
          <w:b/>
        </w:rPr>
        <w:t xml:space="preserve">Recurring forms: </w:t>
      </w:r>
      <w:r>
        <w:t>Due Process Reduction; Detention and Expulsion Escalation; Exceptional Authority Testing; Spillover into the Broader Constitutional Order.</w:t>
      </w:r>
    </w:p>
    <w:p>
      <w:r>
        <w:rPr>
          <w:b/>
        </w:rPr>
        <w:t xml:space="preserve">Illustrative weeks for drafting focus: </w:t>
      </w:r>
      <w:r>
        <w:t>Week 2, Week 15, Week 28, Week 43.</w:t>
      </w:r>
    </w:p>
    <w:p>
      <w:r>
        <w:t>The same logic of leverage, spectacle, and unilateral pressure also shaped the year’s external posture.</w:t>
      </w:r>
    </w:p>
    <w:p>
      <w:pPr>
        <w:pStyle w:val="Heading2"/>
      </w:pPr>
      <w:r>
        <w:t>Transactional Nationalism</w:t>
      </w:r>
    </w:p>
    <w:p>
      <w:r>
        <w:t>Foreign policy, trade, aid, and security were repeatedly used as unilateral bargaining tools rather than constrained public policy.</w:t>
      </w:r>
    </w:p>
    <w:p>
      <w:r>
        <w:t>Describe how tariffs, sanctions, aid, territorial rhetoric, and multilateral disruption were repeatedly used as executive bargaining tools. Emphasize that nationalism here functioned less as doctrine than as transaction, shock, and leverage.</w:t>
      </w:r>
    </w:p>
    <w:p>
      <w:r>
        <w:rPr>
          <w:b/>
        </w:rPr>
        <w:t xml:space="preserve">Recurring forms: </w:t>
      </w:r>
      <w:r>
        <w:t>Aid and Security as Leverage; Tariffs and Sanctions as Executive Weapons; Territorial or Sovereignty Pressure; Multilateral Disruption.</w:t>
      </w:r>
    </w:p>
    <w:p>
      <w:r>
        <w:rPr>
          <w:b/>
        </w:rPr>
        <w:t xml:space="preserve">Illustrative weeks for drafting focus: </w:t>
      </w:r>
      <w:r>
        <w:t>Week 1, Week 13, Week 24, Week 40.</w:t>
      </w:r>
    </w:p>
    <w:p>
      <w:r>
        <w:t>Yet if one institution repeatedly slowed this acceleration, it was not Congress but the courts.</w:t>
      </w:r>
    </w:p>
    <w:p>
      <w:pPr>
        <w:pStyle w:val="Heading2"/>
      </w:pPr>
      <w:r>
        <w:t>Courts as Counterweight</w:t>
      </w:r>
    </w:p>
    <w:p>
      <w:r>
        <w:t>Judges, litigation, and procedural challenges repeatedly emerged as the principal institutional brakes on executive acceleration.</w:t>
      </w:r>
    </w:p>
    <w:p>
      <w:r>
        <w:t>Show how injunctions, procedural challenges, and appellate review repeatedly slowed, clarified, or temporarily blocked executive actions. Be sober: the courts mattered, but they were a partial brake rather than a full cure.</w:t>
      </w:r>
    </w:p>
    <w:p>
      <w:r>
        <w:rPr>
          <w:b/>
        </w:rPr>
        <w:t xml:space="preserve">Recurring forms: </w:t>
      </w:r>
      <w:r>
        <w:t>Temporary Blocks and Injunctions; Procedural Accountability; Time-Buying for Other Actors.</w:t>
      </w:r>
    </w:p>
    <w:p>
      <w:r>
        <w:rPr>
          <w:b/>
        </w:rPr>
        <w:t xml:space="preserve">Illustrative weeks for drafting focus: </w:t>
      </w:r>
      <w:r>
        <w:t>Week 3, Week 16, Week 32, Week 47.</w:t>
      </w:r>
    </w:p>
    <w:p>
      <w:r>
        <w:t>Even where courts slowed decisions, the administration kept returning to the same style of rule, staffed by a culture that prized allegiance over capacity.</w:t>
      </w:r>
    </w:p>
    <w:p>
      <w:pPr>
        <w:pStyle w:val="Heading2"/>
      </w:pPr>
      <w:r>
        <w:t>Loyalty Over Competence</w:t>
      </w:r>
    </w:p>
    <w:p>
      <w:r>
        <w:t>Appointments, restructurings, and removals repeatedly favored ideological obedience over expertise, independence, or administrative capacity.</w:t>
      </w:r>
    </w:p>
    <w:p>
      <w:r>
        <w:t>Explain how appointments, removals, and restructuring signaled that loyalty was treated as a greater virtue than expertise, independence, or competence. Emphasize that democratic decay is often administered by staffing choices as much as by headline policy.</w:t>
      </w:r>
    </w:p>
    <w:p>
      <w:r>
        <w:rPr>
          <w:b/>
        </w:rPr>
        <w:t xml:space="preserve">Recurring forms: </w:t>
      </w:r>
      <w:r>
        <w:t>Ideological Appointment Preference; Expertise Devaluation; Capacity Sacrificed for Control.</w:t>
      </w:r>
    </w:p>
    <w:p>
      <w:r>
        <w:rPr>
          <w:b/>
        </w:rPr>
        <w:t xml:space="preserve">Illustrative weeks for drafting focus: </w:t>
      </w:r>
      <w:r>
        <w:t>Week 5, Week 21, Week 37, Week 50.</w:t>
      </w:r>
    </w:p>
    <w:p>
      <w:r>
        <w:t>When that style repeats week after week, the final danger is not only abuse, but habituation.</w:t>
      </w:r>
    </w:p>
    <w:p>
      <w:pPr>
        <w:pStyle w:val="Heading2"/>
      </w:pPr>
      <w:r>
        <w:t>Normalization Through Repetition</w:t>
      </w:r>
    </w:p>
    <w:p>
      <w:r>
        <w:t>Methods that begin as shocks gradually become routine through repetition, fatigue, and the steady lowering of expectations.</w:t>
      </w:r>
    </w:p>
    <w:p>
      <w:r>
        <w:t>Show that repetition was not a backdrop but one of the year’s most important mechanisms. Conduct that first appeared shocking became routine through recurrence, fatigue, and lowered expectations. Stress that the chronology matters precisely because it reveals this process.</w:t>
      </w:r>
    </w:p>
    <w:p>
      <w:r>
        <w:rPr>
          <w:b/>
        </w:rPr>
        <w:t xml:space="preserve">Recurring forms: </w:t>
      </w:r>
      <w:r>
        <w:t>Shock to Routine; Fatigue and Lowered Expectations; Method Reuse Across Domains.</w:t>
      </w:r>
    </w:p>
    <w:p>
      <w:r>
        <w:rPr>
          <w:b/>
        </w:rPr>
        <w:t xml:space="preserve">Illustrative weeks for drafting focus: </w:t>
      </w:r>
      <w:r>
        <w:t>Week 1, Week 14, Week 30, Week 53.</w:t>
      </w:r>
    </w:p>
    <w:p>
      <w:r>
        <w:t>By the end of the year, the question was no longer whether any single act crossed a line. It was what happened to a republic when line-crossing became method.</w:t>
      </w:r>
    </w:p>
    <w:p>
      <w:r>
        <w:t>Do not merely restate the themes. Show how they reinforced one another: centralization required civil-service pressure, weakened reality made dissent easier to punish, selective enforcement found its sharpest testing ground in immigration, and repetition transformed exception into habit. End by showing what a year can reveal that a day cannot.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