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Key Themes</w:t>
      </w:r>
    </w:p>
    <w:p>
      <w:pPr>
        <w:pStyle w:val="Heading2"/>
      </w:pPr>
      <w:r>
        <w:t>Executive Overreach</w:t>
      </w:r>
    </w:p>
    <w:p>
      <w:r>
        <w:t>The recurrent use of unilateral executive action to outrun deliberation, oversight, and normal institutional process.</w:t>
      </w:r>
    </w:p>
    <w:p>
      <w:r>
        <w:t>This book repeatedly shows the presidency pressing beyond ordinary democratic restraint: using orders, emergency claims, agency control, personnel power, and unilateral directives to reset policy before Congress, the courts, or the public can fully respond.</w:t>
      </w:r>
    </w:p>
    <w:p>
      <w:r>
        <w:rPr>
          <w:b/>
        </w:rPr>
        <w:t xml:space="preserve">Recurring forms: </w:t>
      </w:r>
      <w:r>
        <w:t>Circumvention of Oversight; Emergency or Exceptional Powers; Usurpation of Other Powers; Administrative Commandeering; After-the-Fact Governance.</w:t>
      </w:r>
    </w:p>
    <w:p>
      <w:r>
        <w:rPr>
          <w:b/>
        </w:rPr>
        <w:t xml:space="preserve">Prominent in: </w:t>
      </w:r>
      <w:r>
        <w:t>Weeks 1–53</w:t>
      </w:r>
    </w:p>
    <w:p>
      <w:pPr>
        <w:pStyle w:val="Heading2"/>
      </w:pPr>
      <w:r>
        <w:t>Executive–Private Fusion</w:t>
      </w:r>
    </w:p>
    <w:p>
      <w:r>
        <w:t>Private actors, business interests, and loyalist networks become embedded in state power rather than kept at arm’s length from it.</w:t>
      </w:r>
    </w:p>
    <w:p>
      <w:r>
        <w:t>Again and again, the year shows the boundary between public authority and private leverage eroding. This matters democratically because state power becomes harder to audit, less accountable to law, and more vulnerable to patronage, self-dealing, and coercive informality.</w:t>
      </w:r>
    </w:p>
    <w:p>
      <w:r>
        <w:rPr>
          <w:b/>
        </w:rPr>
        <w:t xml:space="preserve">Recurring forms: </w:t>
      </w:r>
      <w:r>
        <w:t>Private Actors Inside State Functions; Patronage and Self-Dealing; Informal Power Channels; Outsourced Coercion or Control.</w:t>
      </w:r>
    </w:p>
    <w:p>
      <w:r>
        <w:rPr>
          <w:b/>
        </w:rPr>
        <w:t xml:space="preserve">Prominent in: </w:t>
      </w:r>
      <w:r>
        <w:t>Weeks 1–12, Weeks 14–16, Weeks 18–20, Weeks 22–24, Weeks 28–29, Weeks 35–36, Weeks 40–42, Week 44, Week 50, Week 53</w:t>
      </w:r>
    </w:p>
    <w:p>
      <w:pPr>
        <w:pStyle w:val="Heading2"/>
      </w:pPr>
      <w:r>
        <w:t>Rule-of-Law Inversion</w:t>
      </w:r>
    </w:p>
    <w:p>
      <w:r>
        <w:t>Independent enforcement is recast as partisan abuse while allies are shielded and opponents are targeted.</w:t>
      </w:r>
    </w:p>
    <w:p>
      <w:r>
        <w:t>A democratic system depends on law being applied by institutions that are not simply instruments of the ruler. Across the year, prosecutions, pardons, purges, investigative priorities, and legal rhetoric repeatedly shift in ways that protect regime allies, weaken corruption controls, and redefine accountability as persecution.</w:t>
      </w:r>
    </w:p>
    <w:p>
      <w:r>
        <w:rPr>
          <w:b/>
        </w:rPr>
        <w:t xml:space="preserve">Recurring forms: </w:t>
      </w:r>
      <w:r>
        <w:t>Protection of Allies; Targeting of Opponents; Politicization of Enforcement; Corruption Control as “Persecution”; Law as Deterrent Theater.</w:t>
      </w:r>
    </w:p>
    <w:p>
      <w:r>
        <w:rPr>
          <w:b/>
        </w:rPr>
        <w:t xml:space="preserve">Prominent in: </w:t>
      </w:r>
      <w:r>
        <w:t>Weeks 1–8, Weeks 10–53</w:t>
      </w:r>
    </w:p>
    <w:p>
      <w:pPr>
        <w:pStyle w:val="Heading2"/>
      </w:pPr>
      <w:r>
        <w:t>Civil Service as Target and Terrain</w:t>
      </w:r>
    </w:p>
    <w:p>
      <w:r>
        <w:t>The professional bureaucracy is weakened, politicized, or hollowed out so it can be replaced by loyalists, contractors, or fear-driven compliance.</w:t>
      </w:r>
    </w:p>
    <w:p>
      <w:r>
        <w:t>The struggle over personnel is not administrative trivia. It determines whether government acts through law, expertise, and continuity, or through personal loyalty, intimidation, and ideological capture.</w:t>
      </w:r>
    </w:p>
    <w:p>
      <w:r>
        <w:rPr>
          <w:b/>
        </w:rPr>
        <w:t xml:space="preserve">Recurring forms: </w:t>
      </w:r>
      <w:r>
        <w:t>Purges and Removals; Reclassification and Loyalty Redesign; Capacity Hollowing; Fear-Driven Compliance.</w:t>
      </w:r>
    </w:p>
    <w:p>
      <w:r>
        <w:rPr>
          <w:b/>
        </w:rPr>
        <w:t xml:space="preserve">Prominent in: </w:t>
      </w:r>
      <w:r>
        <w:t>Weeks 1–53</w:t>
      </w:r>
    </w:p>
    <w:p>
      <w:pPr>
        <w:pStyle w:val="Heading2"/>
      </w:pPr>
      <w:r>
        <w:t>Information and Memory Control</w:t>
      </w:r>
    </w:p>
    <w:p>
      <w:r>
        <w:t>Data, history, media access, and the public factual baseline are repeatedly manipulated as instruments of power.</w:t>
      </w:r>
    </w:p>
    <w:p>
      <w:r>
        <w:t>This book is not only about policy decisions. It is also about who gets to define reality. When records vanish, media access is reshuffled, public history is rewritten, and disfavored facts are suppressed, democratic self-government loses the common ground it requires.</w:t>
      </w:r>
    </w:p>
    <w:p>
      <w:r>
        <w:rPr>
          <w:b/>
        </w:rPr>
        <w:t xml:space="preserve">Recurring forms: </w:t>
      </w:r>
      <w:r>
        <w:t>Record Erasure or Suppression; History Rewriting; Media Access Manipulation; Factual Baseline Destabilization.</w:t>
      </w:r>
    </w:p>
    <w:p>
      <w:r>
        <w:rPr>
          <w:b/>
        </w:rPr>
        <w:t xml:space="preserve">Prominent in: </w:t>
      </w:r>
      <w:r>
        <w:t>Week 2, Weeks 4–7, Weeks 9–12, Weeks 14–19, Weeks 21–23, Weeks 26–33, Weeks 35–38, Week 40, Weeks 43–44, Week 46, Week 50</w:t>
      </w:r>
    </w:p>
    <w:p>
      <w:pPr>
        <w:pStyle w:val="Heading2"/>
      </w:pPr>
      <w:r>
        <w:t>Attacks on Dissent</w:t>
      </w:r>
    </w:p>
    <w:p>
      <w:r>
        <w:t>Speech, protest, academic independence, and civil-society opposition are treated as threats to be chilled, punished, or administratively constrained.</w:t>
      </w:r>
    </w:p>
    <w:p>
      <w:r>
        <w:t>A democracy depends on dissent not merely being legal but being politically survivable. Across the book, protest, campus speech, critical media, and civic opposition face escalating pressure through funding threats, prosecutions, immigration tools, and policing.</w:t>
      </w:r>
    </w:p>
    <w:p>
      <w:r>
        <w:rPr>
          <w:b/>
        </w:rPr>
        <w:t xml:space="preserve">Recurring forms: </w:t>
      </w:r>
      <w:r>
        <w:t>Protest Criminalization or Chilling; Academic and Campus Pressure; Media and Civil Society Intimidation; Administrative Retaliation for Criticism.</w:t>
      </w:r>
    </w:p>
    <w:p>
      <w:r>
        <w:rPr>
          <w:b/>
        </w:rPr>
        <w:t xml:space="preserve">Prominent in: </w:t>
      </w:r>
      <w:r>
        <w:t>Weeks 1–53</w:t>
      </w:r>
    </w:p>
    <w:p>
      <w:pPr>
        <w:pStyle w:val="Heading2"/>
      </w:pPr>
      <w:r>
        <w:t>Selective Enforcement</w:t>
      </w:r>
    </w:p>
    <w:p>
      <w:r>
        <w:t>State power is applied unevenly depending on loyalty, vulnerability, usefulness, or ideological fit.</w:t>
      </w:r>
    </w:p>
    <w:p>
      <w:r>
        <w:t>One of the clearest democratic warning signs is not simply harsher enforcement, but unequal enforcement. Throughout the year, coercive authority appears repeatedly to fall hardest on the weak, the disfavored, and the politically exposed, while allies and aligned constituencies are treated differently.</w:t>
      </w:r>
    </w:p>
    <w:p>
      <w:r>
        <w:rPr>
          <w:b/>
        </w:rPr>
        <w:t xml:space="preserve">Recurring forms: </w:t>
      </w:r>
      <w:r>
        <w:t>Vulnerability Targeting; Loyalty-Based Lenience; Ideological Asymmetry; Deterrent Example-Making.</w:t>
      </w:r>
    </w:p>
    <w:p>
      <w:r>
        <w:rPr>
          <w:b/>
        </w:rPr>
        <w:t xml:space="preserve">Prominent in: </w:t>
      </w:r>
      <w:r>
        <w:t>Weeks 1–53</w:t>
      </w:r>
    </w:p>
    <w:p>
      <w:pPr>
        <w:pStyle w:val="Heading2"/>
      </w:pPr>
      <w:r>
        <w:t>Immigration as a Test Case for Power</w:t>
      </w:r>
    </w:p>
    <w:p>
      <w:r>
        <w:t>Immigration becomes the proving ground for exceptional powers, reduced due process, and coercive governance at scale.</w:t>
      </w:r>
    </w:p>
    <w:p>
      <w:r>
        <w:t>The book shows immigration policy functioning as more than border policy. It becomes the administration’s most elastic field for detention, expulsion, militarization, surveillance, and jurisdictional experimentation, with consequences that spill into the wider constitutional order.</w:t>
      </w:r>
    </w:p>
    <w:p>
      <w:r>
        <w:rPr>
          <w:b/>
        </w:rPr>
        <w:t xml:space="preserve">Recurring forms: </w:t>
      </w:r>
      <w:r>
        <w:t>Due Process Reduction; Detention and Expulsion Escalation; Exceptional Authority Testing; Spillover into the Broader Constitutional Order.</w:t>
      </w:r>
    </w:p>
    <w:p>
      <w:r>
        <w:rPr>
          <w:b/>
        </w:rPr>
        <w:t xml:space="preserve">Prominent in: </w:t>
      </w:r>
      <w:r>
        <w:t>Weeks 1–53</w:t>
      </w:r>
    </w:p>
    <w:p>
      <w:pPr>
        <w:pStyle w:val="Heading2"/>
      </w:pPr>
      <w:r>
        <w:t>Transactional Nationalism</w:t>
      </w:r>
    </w:p>
    <w:p>
      <w:r>
        <w:t>Foreign policy, trade, aid, and security are repeatedly used as unilateral bargaining tools rather than constrained public policy.</w:t>
      </w:r>
    </w:p>
    <w:p>
      <w:r>
        <w:t>International actions in this book often mirror domestic ones: shock, centralization, and leverage. Aid, tariffs, sanctions, territorial rhetoric, and multilateral withdrawals are used not as elements of a stable rules-based order but as executive instruments of pressure and spectacle.</w:t>
      </w:r>
    </w:p>
    <w:p>
      <w:r>
        <w:rPr>
          <w:b/>
        </w:rPr>
        <w:t xml:space="preserve">Recurring forms: </w:t>
      </w:r>
      <w:r>
        <w:t>Aid and Security as Leverage; Tariffs and Sanctions as Executive Weapons; Territorial or Sovereignty Pressure; Multilateral Disruption.</w:t>
      </w:r>
    </w:p>
    <w:p>
      <w:r>
        <w:rPr>
          <w:b/>
        </w:rPr>
        <w:t xml:space="preserve">Prominent in: </w:t>
      </w:r>
      <w:r>
        <w:t>Weeks 1–53</w:t>
      </w:r>
    </w:p>
    <w:p>
      <w:pPr>
        <w:pStyle w:val="Heading2"/>
      </w:pPr>
      <w:r>
        <w:t>Courts as Counterweight</w:t>
      </w:r>
    </w:p>
    <w:p>
      <w:r>
        <w:t>Judges, litigation, and procedural challenges repeatedly emerge as the principal institutional brakes on executive acceleration.</w:t>
      </w:r>
    </w:p>
    <w:p>
      <w:r>
        <w:t>The judiciary is not portrayed here as a guaranteed savior. But week after week, it appears as one of the few institutions still capable of slowing, clarifying, or temporarily blocking executive moves that other branches will not stop in time.</w:t>
      </w:r>
    </w:p>
    <w:p>
      <w:r>
        <w:rPr>
          <w:b/>
        </w:rPr>
        <w:t xml:space="preserve">Recurring forms: </w:t>
      </w:r>
      <w:r>
        <w:t>Temporary Blocks and Injunctions; Procedural Accountability; Time-Buying for Other Actors.</w:t>
      </w:r>
    </w:p>
    <w:p>
      <w:r>
        <w:rPr>
          <w:b/>
        </w:rPr>
        <w:t xml:space="preserve">Prominent in: </w:t>
      </w:r>
      <w:r>
        <w:t>Weeks 1–53</w:t>
      </w:r>
    </w:p>
    <w:p>
      <w:pPr>
        <w:pStyle w:val="Heading2"/>
      </w:pPr>
      <w:r>
        <w:t>Loyalty Over Competence</w:t>
      </w:r>
    </w:p>
    <w:p>
      <w:r>
        <w:t>Appointments, restructurings, and removals repeatedly favor ideological obedience over expertise, independence, or administrative capacity.</w:t>
      </w:r>
    </w:p>
    <w:p>
      <w:r>
        <w:t>A recurring pattern in the book is not just that institutions are politicized, but that competence itself is downgraded. This matters because democratic governance depends on capable institutions, not merely obedient ones.</w:t>
      </w:r>
    </w:p>
    <w:p>
      <w:r>
        <w:rPr>
          <w:b/>
        </w:rPr>
        <w:t xml:space="preserve">Recurring forms: </w:t>
      </w:r>
      <w:r>
        <w:t>Ideological Appointment Preference; Expertise Devaluation; Capacity Sacrificed for Control.</w:t>
      </w:r>
    </w:p>
    <w:p>
      <w:r>
        <w:rPr>
          <w:b/>
        </w:rPr>
        <w:t xml:space="preserve">Prominent in: </w:t>
      </w:r>
      <w:r>
        <w:t>Weeks 1–13, Weeks 15–18, Weeks 20–51, Week 53</w:t>
      </w:r>
    </w:p>
    <w:p>
      <w:pPr>
        <w:pStyle w:val="Heading2"/>
      </w:pPr>
      <w:r>
        <w:t>Normalization Through Repetition</w:t>
      </w:r>
    </w:p>
    <w:p>
      <w:r>
        <w:t>Methods that begin as shocks gradually become routine through repetition, fatigue, and the steady lowering of expectations.</w:t>
      </w:r>
    </w:p>
    <w:p>
      <w:r>
        <w:t>Part of the book’s force comes from chronology itself. Similar moves recur across weeks—purges, threats, denials, emergency claims, retaliations—until once-exceptional conduct starts to look ordinary. This appendix gathers those repetitions back into view.</w:t>
      </w:r>
    </w:p>
    <w:p>
      <w:r>
        <w:rPr>
          <w:b/>
        </w:rPr>
        <w:t xml:space="preserve">Recurring forms: </w:t>
      </w:r>
      <w:r>
        <w:t>Shock to Routine; Fatigue and Lowered Expectations; Method Reuse Across Domains.</w:t>
      </w:r>
    </w:p>
    <w:p>
      <w:r>
        <w:rPr>
          <w:b/>
        </w:rPr>
        <w:t xml:space="preserve">Prominent in: </w:t>
      </w:r>
      <w:r>
        <w:t>Weeks 1–53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