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Georgia" w:cs="Georgia" w:eastAsia="Georgia" w:hAnsi="Georgia"/>
          <w:b/>
          <w:bCs/>
          <w:color w:val="1B2A4A"/>
          <w:sz w:val="56"/>
          <w:szCs w:val="56"/>
        </w:rPr>
        <w:t xml:space="preserve">CALIFORNIA LAND USE</w:t>
      </w:r>
    </w:p>
    <w:p>
      <w:pPr>
        <w:spacing w:after="100"/>
        <w:jc w:val="center"/>
      </w:pPr>
      <w:r>
        <w:rPr>
          <w:rFonts w:ascii="Georgia" w:cs="Georgia" w:eastAsia="Georgia" w:hAnsi="Georgia"/>
          <w:b/>
          <w:bCs/>
          <w:color w:val="1B2A4A"/>
          <w:sz w:val="56"/>
          <w:szCs w:val="56"/>
        </w:rPr>
        <w:t xml:space="preserve">&amp; DEVELOPMENT</w:t>
      </w:r>
    </w:p>
    <w:p>
      <w:pPr>
        <w:spacing w:after="400"/>
        <w:jc w:val="center"/>
      </w:pPr>
      <w:r>
        <w:rPr>
          <w:rFonts w:ascii="Georgia" w:cs="Georgia" w:eastAsia="Georgia" w:hAnsi="Georgia"/>
          <w:color w:val="3B7DD8"/>
          <w:sz w:val="36"/>
          <w:szCs w:val="36"/>
        </w:rPr>
        <w:t xml:space="preserve">ESSENTIAL SKILLS GUIDEBOOK</w:t>
      </w:r>
    </w:p>
    <w:p>
      <w:pPr>
        <w:pBdr>
          <w:top w:val="single" w:color="3B7DD8" w:sz="4" w:space="1"/>
        </w:pBdr>
        <w:spacing w:before="200" w:after="200"/>
        <w:jc w:val="center"/>
      </w:pPr>
    </w:p>
    <w:p>
      <w:pPr>
        <w:spacing w:after="80"/>
        <w:jc w:val="center"/>
      </w:pPr>
      <w:r>
        <w:rPr>
          <w:rFonts w:ascii="Arial" w:cs="Arial" w:eastAsia="Arial" w:hAnsi="Arial"/>
          <w:color w:val="2E4057"/>
          <w:sz w:val="24"/>
          <w:szCs w:val="24"/>
        </w:rPr>
        <w:t xml:space="preserve">Zoning | CEQA | Subdivision | Housing Law | Entitlements</w:t>
      </w:r>
    </w:p>
    <w:p>
      <w:pPr>
        <w:spacing w:after="80"/>
        <w:jc w:val="center"/>
      </w:pPr>
      <w:r>
        <w:rPr>
          <w:rFonts w:ascii="Arial" w:cs="Arial" w:eastAsia="Arial" w:hAnsi="Arial"/>
          <w:color w:val="2E4057"/>
          <w:sz w:val="24"/>
          <w:szCs w:val="24"/>
        </w:rPr>
        <w:t xml:space="preserve">Geotechnical | Civil Engineering | Survey | Revit BIM</w:t>
      </w:r>
    </w:p>
    <w:p>
      <w:pPr>
        <w:spacing w:after="80"/>
        <w:jc w:val="center"/>
      </w:pPr>
      <w:r>
        <w:rPr>
          <w:rFonts w:ascii="Arial" w:cs="Arial" w:eastAsia="Arial" w:hAnsi="Arial"/>
          <w:color w:val="2E4057"/>
          <w:sz w:val="24"/>
          <w:szCs w:val="24"/>
        </w:rPr>
        <w:t xml:space="preserve">SB 9 | SB 35 | SB 330 | Density Bonus | ADU Law</w:t>
      </w:r>
    </w:p>
    <w:p>
      <w:pPr>
        <w:spacing w:before="800"/>
      </w:pPr>
    </w:p>
    <w:p>
      <w:pPr>
        <w:spacing w:after="40"/>
        <w:jc w:val="center"/>
      </w:pPr>
      <w:r>
        <w:rPr>
          <w:rFonts w:ascii="Georgia" w:cs="Georgia" w:eastAsia="Georgia" w:hAnsi="Georgia"/>
          <w:color w:val="1B2A4A"/>
          <w:sz w:val="24"/>
          <w:szCs w:val="24"/>
        </w:rPr>
        <w:t xml:space="preserve">Prepared for SVDen Development</w:t>
      </w:r>
    </w:p>
    <w:p>
      <w:pPr>
        <w:spacing w:after="40"/>
        <w:jc w:val="center"/>
      </w:pPr>
      <w:r>
        <w:rPr>
          <w:rFonts w:ascii="Arial" w:cs="Arial" w:eastAsia="Arial" w:hAnsi="Arial"/>
          <w:color w:val="6B7280"/>
          <w:sz w:val="20"/>
          <w:szCs w:val="20"/>
        </w:rPr>
        <w:t xml:space="preserve">Fast-Track Learning System with AI-Guided Tutoring</w:t>
      </w:r>
    </w:p>
    <w:p>
      <w:pPr>
        <w:jc w:val="center"/>
      </w:pPr>
      <w:r>
        <w:rPr>
          <w:rFonts w:ascii="Arial" w:cs="Arial" w:eastAsia="Arial" w:hAnsi="Arial"/>
          <w:color w:val="6B7280"/>
          <w:sz w:val="20"/>
          <w:szCs w:val="20"/>
        </w:rPr>
        <w:t xml:space="preserve">February 2026</w:t>
      </w:r>
    </w:p>
    <w:p>
      <w:pPr>
        <w:sectPr>
          <w:pgSz w:w="12240" w:h="15840" w:orient="portrait"/>
          <w:pgMar w:top="288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t xml:space="preserve">Part I: California Planning Law Framework</w:t>
      </w:r>
    </w:p>
    <w:p>
      <w:pPr>
        <w:spacing w:before="80" w:after="80"/>
      </w:pPr>
      <w:r>
        <w:rPr>
          <w:rFonts w:ascii="Arial" w:cs="Arial" w:eastAsia="Arial" w:hAnsi="Arial"/>
          <w:color w:val="1A1A1A"/>
          <w:sz w:val="22"/>
          <w:szCs w:val="22"/>
        </w:rPr>
        <w:t xml:space="preserve">This section covers the foundational legal architecture that governs all land use decisions in California. Every development project exists within this hierarchy, and understanding it is the prerequisite for everything that follows.</w:t>
      </w:r>
    </w:p>
    <w:p>
      <w:pPr>
        <w:pStyle w:val="Heading2"/>
      </w:pPr>
      <w:r>
        <w:t xml:space="preserve">Chapter 1: General Plan Law</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Government Code §65000–65763</w:t>
      </w:r>
    </w:p>
    <w:p>
      <w:pPr>
        <w:spacing w:before="80" w:after="80"/>
      </w:pPr>
      <w:r>
        <w:rPr>
          <w:rFonts w:ascii="Arial" w:cs="Arial" w:eastAsia="Arial" w:hAnsi="Arial"/>
          <w:color w:val="1A1A1A"/>
          <w:sz w:val="22"/>
          <w:szCs w:val="22"/>
        </w:rPr>
        <w:t xml:space="preserve">The General Plan is the “constitution” for land use in every California city and county. All zoning, subdivision, and development decisions must be consistent with the adopted General Plan. A project that conflicts with the General Plan cannot be approved without first amending the Plan itself.</w:t>
      </w:r>
    </w:p>
    <w:p>
      <w:pPr>
        <w:pStyle w:val="Heading3"/>
      </w:pPr>
      <w:r>
        <w:t xml:space="preserve">1.1 Mandatory Elements</w:t>
      </w:r>
    </w:p>
    <w:p>
      <w:pPr>
        <w:spacing w:before="80" w:after="80"/>
      </w:pPr>
      <w:r>
        <w:rPr>
          <w:rFonts w:ascii="Arial" w:cs="Arial" w:eastAsia="Arial" w:hAnsi="Arial"/>
          <w:color w:val="1A1A1A"/>
          <w:sz w:val="22"/>
          <w:szCs w:val="22"/>
        </w:rPr>
        <w:t xml:space="preserve">California law requires every General Plan to include seven mandatory elements. Understanding each element tells you what constraints and opportunities apply to any given parcel.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31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Gov. Code Section</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Key Content</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Developer Impact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Land Use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§65302(a)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Designations, density ranges, building intensity standards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Determines allowable uses, FAR, and density caps</w:t>
            </w:r>
          </w:p>
        </w:tc>
      </w:tr>
      <w:tr>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Circulation</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§65302(b)</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Transportation network, road classifications, transit</w:t>
            </w:r>
          </w:p>
        </w:tc>
        <w:tc>
          <w:tcPr>
            <w:tcW w:type="dxa" w:w="3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Triggers traffic studies and road improvement dedications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Housing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§65302(c)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RHNA allocations, sites inventory, programs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Drives rezoning for housing, density bonus eligibility</w:t>
            </w:r>
          </w:p>
        </w:tc>
      </w:tr>
      <w:tr>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Conservation</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§65302(d)</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Natural resources, water, soil, wildlife</w:t>
            </w:r>
          </w:p>
        </w:tc>
        <w:tc>
          <w:tcPr>
            <w:tcW w:type="dxa" w:w="3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May restrict development in sensitive areas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Open Space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§65302(e)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Parks, recreation, natural areas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Quimby Act dedication requirements</w:t>
            </w:r>
          </w:p>
        </w:tc>
      </w:tr>
      <w:tr>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Noise</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§65302(f)</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Noise contours, compatibility standards</w:t>
            </w:r>
          </w:p>
        </w:tc>
        <w:tc>
          <w:tcPr>
            <w:tcW w:type="dxa" w:w="3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Acoustic studies, building design requirements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Safety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§65302(g)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Seismic, flood, fire hazard mapping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Geotechnical requirements, FEMA compliance</w:t>
            </w:r>
          </w:p>
        </w:tc>
      </w:tr>
    </w:tbl>
    <w:p>
      <w:pPr>
        <w:pStyle w:val="Heading3"/>
      </w:pPr>
      <w:r>
        <w:t xml:space="preserve">1.2 General Plan Consistency Doctrine</w:t>
      </w:r>
    </w:p>
    <w:p>
      <w:pPr>
        <w:spacing w:before="80" w:after="80"/>
      </w:pPr>
      <w:r>
        <w:rPr>
          <w:rFonts w:ascii="Arial" w:cs="Arial" w:eastAsia="Arial" w:hAnsi="Arial"/>
          <w:color w:val="1A1A1A"/>
          <w:sz w:val="22"/>
          <w:szCs w:val="22"/>
        </w:rPr>
        <w:t xml:space="preserve">The consistency doctrine is the golden thread running through all California land use law. Three types of consistency are legally required:</w:t>
      </w:r>
    </w:p>
    <w:p>
      <w:pPr>
        <w:pStyle w:val="ListParagraph"/>
        <w:numPr>
          <w:ilvl w:val="0"/>
          <w:numId w:val="2"/>
        </w:numPr>
      </w:pPr>
      <w:r>
        <w:rPr>
          <w:rFonts w:ascii="Arial" w:cs="Arial" w:eastAsia="Arial" w:hAnsi="Arial"/>
          <w:color w:val="1A1A1A"/>
          <w:sz w:val="22"/>
          <w:szCs w:val="22"/>
        </w:rPr>
        <w:t xml:space="preserve">Horizontal Consistency: All elements of the General Plan must be internally consistent with each other.</w:t>
      </w:r>
    </w:p>
    <w:p>
      <w:pPr>
        <w:pStyle w:val="ListParagraph"/>
        <w:numPr>
          <w:ilvl w:val="0"/>
          <w:numId w:val="2"/>
        </w:numPr>
      </w:pPr>
      <w:r>
        <w:rPr>
          <w:rFonts w:ascii="Arial" w:cs="Arial" w:eastAsia="Arial" w:hAnsi="Arial"/>
          <w:color w:val="1A1A1A"/>
          <w:sz w:val="22"/>
          <w:szCs w:val="22"/>
        </w:rPr>
        <w:t xml:space="preserve">Vertical Consistency: Zoning ordinances, specific plans, and subdivision approvals must be consistent with the General Plan.</w:t>
      </w:r>
    </w:p>
    <w:p>
      <w:pPr>
        <w:pStyle w:val="ListParagraph"/>
        <w:numPr>
          <w:ilvl w:val="0"/>
          <w:numId w:val="2"/>
        </w:numPr>
      </w:pPr>
      <w:r>
        <w:rPr>
          <w:rFonts w:ascii="Arial" w:cs="Arial" w:eastAsia="Arial" w:hAnsi="Arial"/>
          <w:color w:val="1A1A1A"/>
          <w:sz w:val="22"/>
          <w:szCs w:val="22"/>
        </w:rPr>
        <w:t xml:space="preserve">Project Consistency: Individual development projects must be consistent with all applicable plans and ordinances.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none" w:sz="0"/>
              <w:bottom w:val="none" w:sz="0"/>
              <w:right w:val="none" w:sz="0"/>
            </w:tcBorders>
            <w:shd w:fill="EDF2F7" w:val="clear"/>
            <w:tcMar>
              <w:top w:type="dxa" w:w="120"/>
              <w:left w:type="dxa" w:w="200"/>
              <w:bottom w:type="dxa" w:w="120"/>
              <w:right w:type="dxa" w:w="200"/>
            </w:tcMar>
          </w:tcPr>
          <w:p>
            <w:pPr>
              <w:spacing w:after="40"/>
            </w:pPr>
            <w:r>
              <w:rPr>
                <w:rFonts w:ascii="Arial" w:cs="Arial" w:eastAsia="Arial" w:hAnsi="Arial"/>
                <w:b/>
                <w:bCs/>
                <w:color w:val="3B7DD8"/>
                <w:sz w:val="22"/>
                <w:szCs w:val="22"/>
              </w:rPr>
              <w:t xml:space="preserve">Practitioner Tip</w:t>
            </w:r>
          </w:p>
          <w:p>
            <w:r>
              <w:rPr>
                <w:rFonts w:ascii="Arial" w:cs="Arial" w:eastAsia="Arial" w:hAnsi="Arial"/>
                <w:color w:val="2E4057"/>
                <w:sz w:val="20"/>
                <w:szCs w:val="20"/>
              </w:rPr>
              <w:t xml:space="preserve">When evaluating a site, always start with the General Plan land use designation. If your proposed project conflicts with the GP designation, you need a General Plan Amendment (GPA) before anything else — and GPAs are discretionary, CEQA-triggering actions that add 12–18 months to your timeline.</w:t>
            </w:r>
          </w:p>
        </w:tc>
      </w:tr>
    </w:tbl>
    <w:p>
      <w:pPr>
        <w:pStyle w:val="Heading3"/>
      </w:pPr>
      <w:r>
        <w:t xml:space="preserve">1.3 General Plan Amendments</w:t>
      </w:r>
    </w:p>
    <w:p>
      <w:pPr>
        <w:spacing w:before="80" w:after="80"/>
      </w:pPr>
      <w:r>
        <w:rPr>
          <w:rFonts w:ascii="Arial" w:cs="Arial" w:eastAsia="Arial" w:hAnsi="Arial"/>
          <w:color w:val="1A1A1A"/>
          <w:sz w:val="22"/>
          <w:szCs w:val="22"/>
        </w:rPr>
        <w:t xml:space="preserve">General Plan amendments may be made no more than four times per calendar year for any single mandatory element (Gov. Code §65358). However, there are important exceptions: amendments required by court order, amendments to the housing element to comply with RHNA, and amendments that are legislatively required are not counted against the four-amendment cap.</w:t>
      </w:r>
    </w:p>
    <w:p>
      <w:pPr>
        <w:pBdr>
          <w:bottom w:val="single" w:color="CCCCCC" w:sz="2" w:space="1"/>
        </w:pBdr>
        <w:spacing w:before="200" w:after="200"/>
      </w:pPr>
    </w:p>
    <w:p>
      <w:pPr>
        <w:pStyle w:val="Heading2"/>
      </w:pPr>
      <w:r>
        <w:t xml:space="preserve">Chapter 2: Zoning Law &amp; Administration</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Government Code §65800–65912</w:t>
      </w:r>
    </w:p>
    <w:p>
      <w:pPr>
        <w:spacing w:before="80" w:after="80"/>
      </w:pPr>
      <w:r>
        <w:rPr>
          <w:rFonts w:ascii="Arial" w:cs="Arial" w:eastAsia="Arial" w:hAnsi="Arial"/>
          <w:color w:val="1A1A1A"/>
          <w:sz w:val="22"/>
          <w:szCs w:val="22"/>
        </w:rPr>
        <w:t xml:space="preserve">Zoning is the primary tool cities and counties use to implement the General Plan. While the General Plan sets broad policy, the zoning ordinance contains the specific, parcel-level regulations that determine what you can build, how large, how tall, and where on the lot.</w:t>
      </w:r>
    </w:p>
    <w:p>
      <w:pPr>
        <w:pStyle w:val="Heading3"/>
      </w:pPr>
      <w:r>
        <w:t xml:space="preserve">2.1 Zoning Code Anatomy</w:t>
      </w:r>
    </w:p>
    <w:p>
      <w:pPr>
        <w:spacing w:before="80" w:after="80"/>
      </w:pPr>
      <w:r>
        <w:rPr>
          <w:rFonts w:ascii="Arial" w:cs="Arial" w:eastAsia="Arial" w:hAnsi="Arial"/>
          <w:color w:val="1A1A1A"/>
          <w:sz w:val="22"/>
          <w:szCs w:val="22"/>
        </w:rPr>
        <w:t xml:space="preserve">Every zoning ordinance contains the same basic components, though they vary enormously in organization and complexity between jurisdictions. Mastering the ability to quickly navigate an unfamiliar zoning code is a critical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What It Controls</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Key Metrics to Extract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Base Zoning District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Permitted and conditional uses by zone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Use tables, permitted vs. CUP uses</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Development Standards</w:t>
            </w:r>
          </w:p>
        </w:tc>
        <w:tc>
          <w:tcPr>
            <w:tcW w:type="dxa" w:w="3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Physical envelope of development</w:t>
            </w:r>
          </w:p>
        </w:tc>
        <w:tc>
          <w:tcPr>
            <w:tcW w:type="dxa" w:w="3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FAR, lot coverage, height, setbacks, stories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Parking Requirements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Number and design of parking spaces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Ratios per unit/SF, guest parking, bicycle</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Design Standards</w:t>
            </w:r>
          </w:p>
        </w:tc>
        <w:tc>
          <w:tcPr>
            <w:tcW w:type="dxa" w:w="3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Architectural and site design</w:t>
            </w:r>
          </w:p>
        </w:tc>
        <w:tc>
          <w:tcPr>
            <w:tcW w:type="dxa" w:w="3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Materials, massing, articulation, landscaping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Overlay Districts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Additional regulations layered on base zone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Historic, flood, transit-oriented, scenic</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Specific Plans</w:t>
            </w:r>
          </w:p>
        </w:tc>
        <w:tc>
          <w:tcPr>
            <w:tcW w:type="dxa" w:w="3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Comprehensive plan for defined area</w:t>
            </w:r>
          </w:p>
        </w:tc>
        <w:tc>
          <w:tcPr>
            <w:tcW w:type="dxa" w:w="3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May supersede base zoning entirely</w:t>
            </w:r>
          </w:p>
        </w:tc>
      </w:tr>
    </w:tbl>
    <w:p>
      <w:pPr>
        <w:pStyle w:val="Heading3"/>
      </w:pPr>
      <w:r>
        <w:t xml:space="preserve">2.2 Discretionary vs. Ministerial Approvals</w:t>
      </w:r>
    </w:p>
    <w:p>
      <w:pPr>
        <w:spacing w:before="80" w:after="80"/>
      </w:pPr>
      <w:r>
        <w:rPr>
          <w:rFonts w:ascii="Arial" w:cs="Arial" w:eastAsia="Arial" w:hAnsi="Arial"/>
          <w:color w:val="1A1A1A"/>
          <w:sz w:val="22"/>
          <w:szCs w:val="22"/>
        </w:rPr>
        <w:t xml:space="preserve">This distinction is one of the most consequential in California land use law because it determines whether CEQA review is required.</w:t>
      </w:r>
    </w:p>
    <w:p>
      <w:pPr>
        <w:spacing w:before="80" w:after="80"/>
      </w:pPr>
      <w:r>
        <w:rPr>
          <w:rFonts w:ascii="Arial" w:cs="Arial" w:eastAsia="Arial" w:hAnsi="Arial"/>
          <w:b/>
          <w:bCs/>
          <w:color w:val="1B2A4A"/>
          <w:sz w:val="22"/>
          <w:szCs w:val="22"/>
        </w:rPr>
        <w:t xml:space="preserve">Ministerial Approvals:</w:t>
      </w:r>
      <w:r>
        <w:rPr>
          <w:rFonts w:ascii="Arial" w:cs="Arial" w:eastAsia="Arial" w:hAnsi="Arial"/>
          <w:color w:val="1A1A1A"/>
          <w:sz w:val="22"/>
          <w:szCs w:val="22"/>
        </w:rPr>
        <w:t xml:space="preserve"> The applicant has a legal right to the permit if the project meets all objective standards. No discretion, no CEQA, no public hearing required. Building permits for code-compliant projects are the classic example. SB 35 and SB 9 created new ministerial pathways for housing.</w:t>
      </w:r>
    </w:p>
    <w:p>
      <w:pPr>
        <w:spacing w:before="80" w:after="80"/>
      </w:pPr>
      <w:r>
        <w:rPr>
          <w:rFonts w:ascii="Arial" w:cs="Arial" w:eastAsia="Arial" w:hAnsi="Arial"/>
          <w:b/>
          <w:bCs/>
          <w:color w:val="1B2A4A"/>
          <w:sz w:val="22"/>
          <w:szCs w:val="22"/>
        </w:rPr>
        <w:t xml:space="preserve">Discretionary Approvals:</w:t>
      </w:r>
      <w:r>
        <w:rPr>
          <w:rFonts w:ascii="Arial" w:cs="Arial" w:eastAsia="Arial" w:hAnsi="Arial"/>
          <w:color w:val="1A1A1A"/>
          <w:sz w:val="22"/>
          <w:szCs w:val="22"/>
        </w:rPr>
        <w:t xml:space="preserve"> The decision-maker exercises judgment and can deny the project or impose conditions. Requires CEQA review. Examples include conditional use permits, variances, tentative maps, and design review in most jurisdictions.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none" w:sz="0"/>
              <w:bottom w:val="none" w:sz="0"/>
              <w:right w:val="none" w:sz="0"/>
            </w:tcBorders>
            <w:shd w:fill="EDF2F7" w:val="clear"/>
            <w:tcMar>
              <w:top w:type="dxa" w:w="120"/>
              <w:left w:type="dxa" w:w="200"/>
              <w:bottom w:type="dxa" w:w="120"/>
              <w:right w:type="dxa" w:w="200"/>
            </w:tcMar>
          </w:tcPr>
          <w:p>
            <w:pPr>
              <w:spacing w:after="40"/>
            </w:pPr>
            <w:r>
              <w:rPr>
                <w:rFonts w:ascii="Arial" w:cs="Arial" w:eastAsia="Arial" w:hAnsi="Arial"/>
                <w:b/>
                <w:bCs/>
                <w:color w:val="3B7DD8"/>
                <w:sz w:val="22"/>
                <w:szCs w:val="22"/>
              </w:rPr>
              <w:t xml:space="preserve">Critical Insight</w:t>
            </w:r>
          </w:p>
          <w:p>
            <w:r>
              <w:rPr>
                <w:rFonts w:ascii="Arial" w:cs="Arial" w:eastAsia="Arial" w:hAnsi="Arial"/>
                <w:color w:val="2E4057"/>
                <w:sz w:val="20"/>
                <w:szCs w:val="20"/>
              </w:rPr>
              <w:t xml:space="preserve">The trend in California housing law is to convert discretionary approvals into ministerial ones. SB 35, SB 9, SB 330, and the Housing Accountability Act all limit local discretion over housing projects. Understanding which pathway applies to your project can mean the difference between a 6-month and a 3-year entitlement timeline.</w:t>
            </w:r>
          </w:p>
        </w:tc>
      </w:tr>
    </w:tbl>
    <w:p>
      <w:pPr>
        <w:pStyle w:val="Heading3"/>
      </w:pPr>
      <w:r>
        <w:t xml:space="preserve">2.3 Variances and Exceptions</w:t>
      </w:r>
    </w:p>
    <w:p>
      <w:pPr>
        <w:spacing w:before="80" w:after="80"/>
      </w:pPr>
      <w:r>
        <w:rPr>
          <w:rFonts w:ascii="Arial" w:cs="Arial" w:eastAsia="Arial" w:hAnsi="Arial"/>
          <w:color w:val="1A1A1A"/>
          <w:sz w:val="22"/>
          <w:szCs w:val="22"/>
        </w:rPr>
        <w:t xml:space="preserve">A variance provides relief from specific zoning standards when strict application would create an unnecessary hardship. The applicant must demonstrate all five findings required by Gov. Code §65906:</w:t>
      </w:r>
    </w:p>
    <w:p>
      <w:pPr>
        <w:pStyle w:val="ListParagraph"/>
        <w:numPr>
          <w:ilvl w:val="0"/>
          <w:numId w:val="3"/>
        </w:numPr>
      </w:pPr>
      <w:r>
        <w:rPr>
          <w:rFonts w:ascii="Arial" w:cs="Arial" w:eastAsia="Arial" w:hAnsi="Arial"/>
          <w:color w:val="1A1A1A"/>
          <w:sz w:val="22"/>
          <w:szCs w:val="22"/>
        </w:rPr>
        <w:t xml:space="preserve">Special circumstances applicable to the property (shape, topography, location) not of the applicant’s making.</w:t>
      </w:r>
    </w:p>
    <w:p>
      <w:pPr>
        <w:pStyle w:val="ListParagraph"/>
        <w:numPr>
          <w:ilvl w:val="0"/>
          <w:numId w:val="3"/>
        </w:numPr>
      </w:pPr>
      <w:r>
        <w:rPr>
          <w:rFonts w:ascii="Arial" w:cs="Arial" w:eastAsia="Arial" w:hAnsi="Arial"/>
          <w:color w:val="1A1A1A"/>
          <w:sz w:val="22"/>
          <w:szCs w:val="22"/>
        </w:rPr>
        <w:t xml:space="preserve">Strict application of the zoning would deprive the property of privileges enjoyed by similarly zoned properties.</w:t>
      </w:r>
    </w:p>
    <w:p>
      <w:pPr>
        <w:pStyle w:val="ListParagraph"/>
        <w:numPr>
          <w:ilvl w:val="0"/>
          <w:numId w:val="3"/>
        </w:numPr>
      </w:pPr>
      <w:r>
        <w:rPr>
          <w:rFonts w:ascii="Arial" w:cs="Arial" w:eastAsia="Arial" w:hAnsi="Arial"/>
          <w:color w:val="1A1A1A"/>
          <w:sz w:val="22"/>
          <w:szCs w:val="22"/>
        </w:rPr>
        <w:t xml:space="preserve">The variance will not constitute a grant of special privilege.</w:t>
      </w:r>
    </w:p>
    <w:p>
      <w:pPr>
        <w:pStyle w:val="ListParagraph"/>
        <w:numPr>
          <w:ilvl w:val="0"/>
          <w:numId w:val="3"/>
        </w:numPr>
      </w:pPr>
      <w:r>
        <w:rPr>
          <w:rFonts w:ascii="Arial" w:cs="Arial" w:eastAsia="Arial" w:hAnsi="Arial"/>
          <w:color w:val="1A1A1A"/>
          <w:sz w:val="22"/>
          <w:szCs w:val="22"/>
        </w:rPr>
        <w:t xml:space="preserve">The variance will not be detrimental to the public welfare or injurious to nearby property.</w:t>
      </w:r>
    </w:p>
    <w:p>
      <w:pPr>
        <w:pStyle w:val="ListParagraph"/>
        <w:numPr>
          <w:ilvl w:val="0"/>
          <w:numId w:val="3"/>
        </w:numPr>
      </w:pPr>
      <w:r>
        <w:rPr>
          <w:rFonts w:ascii="Arial" w:cs="Arial" w:eastAsia="Arial" w:hAnsi="Arial"/>
          <w:color w:val="1A1A1A"/>
          <w:sz w:val="22"/>
          <w:szCs w:val="22"/>
        </w:rPr>
        <w:t xml:space="preserve">The variance is consistent with the General Plan.</w:t>
      </w:r>
    </w:p>
    <w:p>
      <w:pPr>
        <w:spacing w:before="80" w:after="80"/>
      </w:pPr>
      <w:r>
        <w:rPr>
          <w:rFonts w:ascii="Arial" w:cs="Arial" w:eastAsia="Arial" w:hAnsi="Arial"/>
          <w:color w:val="1A1A1A"/>
          <w:sz w:val="22"/>
          <w:szCs w:val="22"/>
        </w:rPr>
        <w:t xml:space="preserve">A use variance (allowing a use not otherwise permitted in the zone) is prohibited in California. Variances can only modify development standards such as setbacks, height, or lot coverage.</w:t>
      </w:r>
    </w:p>
    <w:p>
      <w:pPr>
        <w:pStyle w:val="Heading3"/>
      </w:pPr>
      <w:r>
        <w:t xml:space="preserve">2.4 Conditional Use Permits</w:t>
      </w:r>
    </w:p>
    <w:p>
      <w:pPr>
        <w:spacing w:before="80" w:after="80"/>
      </w:pPr>
      <w:r>
        <w:rPr>
          <w:rFonts w:ascii="Arial" w:cs="Arial" w:eastAsia="Arial" w:hAnsi="Arial"/>
          <w:color w:val="1A1A1A"/>
          <w:sz w:val="22"/>
          <w:szCs w:val="22"/>
        </w:rPr>
        <w:t xml:space="preserve">A CUP allows a use that is not permitted by right but may be appropriate in the zone with conditions. CUPs are discretionary and trigger CEQA. The planning commission typically has authority, with appeal to the city council. CUPs generally run with the land, not the applicant, but may include sunset clauses or periodic review requirements.</w:t>
      </w:r>
    </w:p>
    <w:p>
      <w:pPr>
        <w:pBdr>
          <w:bottom w:val="single" w:color="CCCCCC" w:sz="2" w:space="1"/>
        </w:pBdr>
        <w:spacing w:before="200" w:after="200"/>
      </w:pPr>
    </w:p>
    <w:p>
      <w:pPr>
        <w:pStyle w:val="Heading2"/>
      </w:pPr>
      <w:r>
        <w:t xml:space="preserve">Chapter 3: Key Housing Legislation</w:t>
      </w:r>
    </w:p>
    <w:p>
      <w:pPr>
        <w:spacing w:before="80" w:after="80"/>
      </w:pPr>
      <w:r>
        <w:rPr>
          <w:rFonts w:ascii="Arial" w:cs="Arial" w:eastAsia="Arial" w:hAnsi="Arial"/>
          <w:color w:val="1A1A1A"/>
          <w:sz w:val="22"/>
          <w:szCs w:val="22"/>
        </w:rPr>
        <w:t xml:space="preserve">California has enacted a suite of laws designed to accelerate housing production by limiting local government’s ability to deny or delay housing projects. These laws interact with each other in complex ways and collectively represent the most significant shift in California land use law in decades.</w:t>
      </w:r>
    </w:p>
    <w:p>
      <w:pPr>
        <w:pStyle w:val="Heading3"/>
      </w:pPr>
      <w:r>
        <w:t xml:space="preserve">3.1 SB 35 — Streamlined Ministerial Approval</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Government Code §65913.4</w:t>
      </w:r>
    </w:p>
    <w:p>
      <w:pPr>
        <w:spacing w:before="80" w:after="80"/>
      </w:pPr>
      <w:r>
        <w:rPr>
          <w:rFonts w:ascii="Arial" w:cs="Arial" w:eastAsia="Arial" w:hAnsi="Arial"/>
          <w:color w:val="1A1A1A"/>
          <w:sz w:val="22"/>
          <w:szCs w:val="22"/>
        </w:rPr>
        <w:t xml:space="preserve">SB 35 creates a ministerial (by-right) approval pathway for qualifying multifamily housing projects in jurisdictions that have not met their Regional Housing Needs Allocation (RHNA) targets. This is one of the most powerful tools in a California housing developer’s arsenal.</w:t>
      </w:r>
    </w:p>
    <w:p>
      <w:pPr>
        <w:pStyle w:val="Heading4"/>
      </w:pPr>
      <w:r>
        <w:t xml:space="preserve">Eligibility Requirements</w:t>
      </w:r>
    </w:p>
    <w:p>
      <w:pPr>
        <w:pStyle w:val="ListParagraph"/>
        <w:numPr>
          <w:ilvl w:val="0"/>
          <w:numId w:val="2"/>
        </w:numPr>
      </w:pPr>
      <w:r>
        <w:rPr>
          <w:rFonts w:ascii="Arial" w:cs="Arial" w:eastAsia="Arial" w:hAnsi="Arial"/>
          <w:color w:val="1A1A1A"/>
          <w:sz w:val="22"/>
          <w:szCs w:val="22"/>
        </w:rPr>
        <w:t xml:space="preserve">Multifamily housing (2+ units) on an infill site in an urbanized area</w:t>
      </w:r>
    </w:p>
    <w:p>
      <w:pPr>
        <w:pStyle w:val="ListParagraph"/>
        <w:numPr>
          <w:ilvl w:val="0"/>
          <w:numId w:val="2"/>
        </w:numPr>
      </w:pPr>
      <w:r>
        <w:rPr>
          <w:rFonts w:ascii="Arial" w:cs="Arial" w:eastAsia="Arial" w:hAnsi="Arial"/>
          <w:color w:val="1A1A1A"/>
          <w:sz w:val="22"/>
          <w:szCs w:val="22"/>
        </w:rPr>
        <w:t xml:space="preserve">Site is zoned for residential or mixed-use with at least 2/3 residential square footage</w:t>
      </w:r>
    </w:p>
    <w:p>
      <w:pPr>
        <w:pStyle w:val="ListParagraph"/>
        <w:numPr>
          <w:ilvl w:val="0"/>
          <w:numId w:val="2"/>
        </w:numPr>
      </w:pPr>
      <w:r>
        <w:rPr>
          <w:rFonts w:ascii="Arial" w:cs="Arial" w:eastAsia="Arial" w:hAnsi="Arial"/>
          <w:color w:val="1A1A1A"/>
          <w:sz w:val="22"/>
          <w:szCs w:val="22"/>
        </w:rPr>
        <w:t xml:space="preserve">Project is consistent with objective zoning and design standards</w:t>
      </w:r>
    </w:p>
    <w:p>
      <w:pPr>
        <w:pStyle w:val="ListParagraph"/>
        <w:numPr>
          <w:ilvl w:val="0"/>
          <w:numId w:val="2"/>
        </w:numPr>
      </w:pPr>
      <w:r>
        <w:rPr>
          <w:rFonts w:ascii="Arial" w:cs="Arial" w:eastAsia="Arial" w:hAnsi="Arial"/>
          <w:color w:val="1A1A1A"/>
          <w:sz w:val="22"/>
          <w:szCs w:val="22"/>
        </w:rPr>
        <w:t xml:space="preserve">Affordable housing component: 10% affordable if jurisdiction has not met above-moderate RHNA; 50% affordable if jurisdiction has not met any income category</w:t>
      </w:r>
    </w:p>
    <w:p>
      <w:pPr>
        <w:pStyle w:val="ListParagraph"/>
        <w:numPr>
          <w:ilvl w:val="0"/>
          <w:numId w:val="2"/>
        </w:numPr>
      </w:pPr>
      <w:r>
        <w:rPr>
          <w:rFonts w:ascii="Arial" w:cs="Arial" w:eastAsia="Arial" w:hAnsi="Arial"/>
          <w:color w:val="1A1A1A"/>
          <w:sz w:val="22"/>
          <w:szCs w:val="22"/>
        </w:rPr>
        <w:t xml:space="preserve">Site is not in a coastal zone, conservation area, prime farmland, floodplain, fire hazard severity zone, hazardous waste site, or earthquake fault zone</w:t>
      </w:r>
    </w:p>
    <w:p>
      <w:pPr>
        <w:pStyle w:val="ListParagraph"/>
        <w:numPr>
          <w:ilvl w:val="0"/>
          <w:numId w:val="2"/>
        </w:numPr>
      </w:pPr>
      <w:r>
        <w:rPr>
          <w:rFonts w:ascii="Arial" w:cs="Arial" w:eastAsia="Arial" w:hAnsi="Arial"/>
          <w:color w:val="1A1A1A"/>
          <w:sz w:val="22"/>
          <w:szCs w:val="22"/>
        </w:rPr>
        <w:t xml:space="preserve">Project does not demolish rent-controlled or deed-restricted affordable housing</w:t>
      </w:r>
    </w:p>
    <w:p>
      <w:pPr>
        <w:pStyle w:val="ListParagraph"/>
        <w:numPr>
          <w:ilvl w:val="0"/>
          <w:numId w:val="2"/>
        </w:numPr>
      </w:pPr>
      <w:r>
        <w:rPr>
          <w:rFonts w:ascii="Arial" w:cs="Arial" w:eastAsia="Arial" w:hAnsi="Arial"/>
          <w:color w:val="1A1A1A"/>
          <w:sz w:val="22"/>
          <w:szCs w:val="22"/>
        </w:rPr>
        <w:t xml:space="preserve">Pays prevailing wages (projects with 10+ units must also use a skilled and trained workforce)</w:t>
      </w:r>
    </w:p>
    <w:p>
      <w:pPr>
        <w:pStyle w:val="Heading4"/>
      </w:pPr>
      <w:r>
        <w:t xml:space="preserve">Process</w:t>
      </w:r>
    </w:p>
    <w:p>
      <w:pPr>
        <w:pStyle w:val="ListParagraph"/>
        <w:numPr>
          <w:ilvl w:val="0"/>
          <w:numId w:val="4"/>
        </w:numPr>
      </w:pPr>
      <w:r>
        <w:rPr>
          <w:rFonts w:ascii="Arial" w:cs="Arial" w:eastAsia="Arial" w:hAnsi="Arial"/>
          <w:color w:val="1A1A1A"/>
          <w:sz w:val="22"/>
          <w:szCs w:val="22"/>
        </w:rPr>
        <w:t xml:space="preserve">Applicant submits application with documentation of SB 35 eligibility.</w:t>
      </w:r>
    </w:p>
    <w:p>
      <w:pPr>
        <w:pStyle w:val="ListParagraph"/>
        <w:numPr>
          <w:ilvl w:val="0"/>
          <w:numId w:val="4"/>
        </w:numPr>
      </w:pPr>
      <w:r>
        <w:rPr>
          <w:rFonts w:ascii="Arial" w:cs="Arial" w:eastAsia="Arial" w:hAnsi="Arial"/>
          <w:color w:val="1A1A1A"/>
          <w:sz w:val="22"/>
          <w:szCs w:val="22"/>
        </w:rPr>
        <w:t xml:space="preserve">Jurisdiction has 60 days (150+ units) or 90 days (150+ units) to determine completeness.</w:t>
      </w:r>
    </w:p>
    <w:p>
      <w:pPr>
        <w:pStyle w:val="ListParagraph"/>
        <w:numPr>
          <w:ilvl w:val="0"/>
          <w:numId w:val="4"/>
        </w:numPr>
      </w:pPr>
      <w:r>
        <w:rPr>
          <w:rFonts w:ascii="Arial" w:cs="Arial" w:eastAsia="Arial" w:hAnsi="Arial"/>
          <w:color w:val="1A1A1A"/>
          <w:sz w:val="22"/>
          <w:szCs w:val="22"/>
        </w:rPr>
        <w:t xml:space="preserve">If eligible, jurisdiction must approve ministerially — no CEQA, no public hearing, no discretionary denial.</w:t>
      </w:r>
    </w:p>
    <w:p>
      <w:pPr>
        <w:pStyle w:val="ListParagraph"/>
        <w:numPr>
          <w:ilvl w:val="0"/>
          <w:numId w:val="4"/>
        </w:numPr>
      </w:pPr>
      <w:r>
        <w:rPr>
          <w:rFonts w:ascii="Arial" w:cs="Arial" w:eastAsia="Arial" w:hAnsi="Arial"/>
          <w:color w:val="1A1A1A"/>
          <w:sz w:val="22"/>
          <w:szCs w:val="22"/>
        </w:rPr>
        <w:t xml:space="preserve">Only objective design review is allowed (not subjective aesthetic judgment).</w:t>
      </w:r>
    </w:p>
    <w:p>
      <w:pPr>
        <w:pStyle w:val="ListParagraph"/>
        <w:numPr>
          <w:ilvl w:val="0"/>
          <w:numId w:val="4"/>
        </w:numPr>
      </w:pPr>
      <w:r>
        <w:rPr>
          <w:rFonts w:ascii="Arial" w:cs="Arial" w:eastAsia="Arial" w:hAnsi="Arial"/>
          <w:color w:val="1A1A1A"/>
          <w:sz w:val="22"/>
          <w:szCs w:val="22"/>
        </w:rPr>
        <w:t xml:space="preserve">If jurisdiction fails to act within the review period, the project is deemed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none" w:sz="0"/>
              <w:bottom w:val="none" w:sz="0"/>
              <w:right w:val="none" w:sz="0"/>
            </w:tcBorders>
            <w:shd w:fill="EDF2F7" w:val="clear"/>
            <w:tcMar>
              <w:top w:type="dxa" w:w="120"/>
              <w:left w:type="dxa" w:w="200"/>
              <w:bottom w:type="dxa" w:w="120"/>
              <w:right w:type="dxa" w:w="200"/>
            </w:tcMar>
          </w:tcPr>
          <w:p>
            <w:pPr>
              <w:spacing w:after="40"/>
            </w:pPr>
            <w:r>
              <w:rPr>
                <w:rFonts w:ascii="Arial" w:cs="Arial" w:eastAsia="Arial" w:hAnsi="Arial"/>
                <w:b/>
                <w:bCs/>
                <w:color w:val="3B7DD8"/>
                <w:sz w:val="22"/>
                <w:szCs w:val="22"/>
              </w:rPr>
              <w:t xml:space="preserve">Developer Strategy</w:t>
            </w:r>
          </w:p>
          <w:p>
            <w:r>
              <w:rPr>
                <w:rFonts w:ascii="Arial" w:cs="Arial" w:eastAsia="Arial" w:hAnsi="Arial"/>
                <w:color w:val="2E4057"/>
                <w:sz w:val="20"/>
                <w:szCs w:val="20"/>
              </w:rPr>
              <w:t xml:space="preserve">Check HCD’s annual SB 35 determination letter for your target jurisdiction. Most Bay Area cities are subject to SB 35. If your project qualifies, this can cut your entitlement timeline from 2–3 years to 6 months.</w:t>
            </w:r>
          </w:p>
        </w:tc>
      </w:tr>
    </w:tbl>
    <w:p>
      <w:pPr>
        <w:pStyle w:val="Heading3"/>
      </w:pPr>
      <w:r>
        <w:t xml:space="preserve">3.2 SB 9 — California Housing Opportunity and More Efficiency (HOME) Act</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Government Code §65852.21 (duplex), §66452.6 (lot split)</w:t>
      </w:r>
    </w:p>
    <w:p>
      <w:pPr>
        <w:spacing w:before="80" w:after="80"/>
      </w:pPr>
      <w:r>
        <w:rPr>
          <w:rFonts w:ascii="Arial" w:cs="Arial" w:eastAsia="Arial" w:hAnsi="Arial"/>
          <w:color w:val="1A1A1A"/>
          <w:sz w:val="22"/>
          <w:szCs w:val="22"/>
        </w:rPr>
        <w:t xml:space="preserve">SB 9 allows up to four units on a single-family zoned parcel through a combination of duplexes and lot splits. This is a ministerial approval that bypasses CEQA entirely.</w:t>
      </w:r>
    </w:p>
    <w:p>
      <w:pPr>
        <w:pStyle w:val="Heading4"/>
      </w:pPr>
      <w:r>
        <w:t xml:space="preserve">Two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What It Allows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Key Requirements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Duplex (§65852.21)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Two units on any single-family zoned parcel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Ministerial approval; no CUP, variance, or CEQA; max 800 SF minimum allowed by city</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Lot Split (§66452.6)</w:t>
            </w:r>
          </w:p>
        </w:tc>
        <w:tc>
          <w:tcPr>
            <w:tcW w:type="dxa" w:w="3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Split one SFR parcel into two parcels</w:t>
            </w:r>
          </w:p>
        </w:tc>
        <w:tc>
          <w:tcPr>
            <w:tcW w:type="dxa" w:w="3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Both parcels ≥ 40% of original; ≥ 1,200 SF each; ministerial; no CEQA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Combined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Duplex on each resulting lot = 4 units total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Owner-occupancy required for lot split (3 years); deed restriction against short-term rental</w:t>
            </w:r>
          </w:p>
        </w:tc>
      </w:tr>
    </w:tbl>
    <w:p>
      <w:pPr>
        <w:pStyle w:val="Heading4"/>
      </w:pPr>
      <w:r>
        <w:t xml:space="preserve">Limitations and Exclusions</w:t>
      </w:r>
    </w:p>
    <w:p>
      <w:pPr>
        <w:pStyle w:val="ListParagraph"/>
        <w:numPr>
          <w:ilvl w:val="0"/>
          <w:numId w:val="5"/>
        </w:numPr>
      </w:pPr>
      <w:r>
        <w:rPr>
          <w:rFonts w:ascii="Arial" w:cs="Arial" w:eastAsia="Arial" w:hAnsi="Arial"/>
          <w:color w:val="1A1A1A"/>
          <w:sz w:val="22"/>
          <w:szCs w:val="22"/>
        </w:rPr>
        <w:t xml:space="preserve">Does not apply in historic districts, prime farmland, flood zones, fire severity zones, or protected habitat</w:t>
      </w:r>
    </w:p>
    <w:p>
      <w:pPr>
        <w:pStyle w:val="ListParagraph"/>
        <w:numPr>
          <w:ilvl w:val="0"/>
          <w:numId w:val="5"/>
        </w:numPr>
      </w:pPr>
      <w:r>
        <w:rPr>
          <w:rFonts w:ascii="Arial" w:cs="Arial" w:eastAsia="Arial" w:hAnsi="Arial"/>
          <w:color w:val="1A1A1A"/>
          <w:sz w:val="22"/>
          <w:szCs w:val="22"/>
        </w:rPr>
        <w:t xml:space="preserve">Cannot demolish rent-controlled, deed-restricted affordable, or recently tenant-occupied housing (within 3 years)</w:t>
      </w:r>
    </w:p>
    <w:p>
      <w:pPr>
        <w:pStyle w:val="ListParagraph"/>
        <w:numPr>
          <w:ilvl w:val="0"/>
          <w:numId w:val="5"/>
        </w:numPr>
      </w:pPr>
      <w:r>
        <w:rPr>
          <w:rFonts w:ascii="Arial" w:cs="Arial" w:eastAsia="Arial" w:hAnsi="Arial"/>
          <w:color w:val="1A1A1A"/>
          <w:sz w:val="22"/>
          <w:szCs w:val="22"/>
        </w:rPr>
        <w:t xml:space="preserve">Prior lot split under SB 9 on same parcel is disqualifying</w:t>
      </w:r>
    </w:p>
    <w:p>
      <w:pPr>
        <w:pStyle w:val="ListParagraph"/>
        <w:numPr>
          <w:ilvl w:val="0"/>
          <w:numId w:val="5"/>
        </w:numPr>
      </w:pPr>
      <w:r>
        <w:rPr>
          <w:rFonts w:ascii="Arial" w:cs="Arial" w:eastAsia="Arial" w:hAnsi="Arial"/>
          <w:color w:val="1A1A1A"/>
          <w:sz w:val="22"/>
          <w:szCs w:val="22"/>
        </w:rPr>
        <w:t xml:space="preserve">Local jurisdictions may impose objective design and development standards but cannot reduce density below 2 units per parcel</w:t>
      </w:r>
    </w:p>
    <w:p>
      <w:pPr>
        <w:pStyle w:val="ListParagraph"/>
        <w:numPr>
          <w:ilvl w:val="0"/>
          <w:numId w:val="5"/>
        </w:numPr>
      </w:pPr>
      <w:r>
        <w:rPr>
          <w:rFonts w:ascii="Arial" w:cs="Arial" w:eastAsia="Arial" w:hAnsi="Arial"/>
          <w:color w:val="1A1A1A"/>
          <w:sz w:val="22"/>
          <w:szCs w:val="22"/>
        </w:rPr>
        <w:t xml:space="preserve">No setback greater than 4 feet from side and rear lot lines for new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none" w:sz="0"/>
              <w:bottom w:val="none" w:sz="0"/>
              <w:right w:val="none" w:sz="0"/>
            </w:tcBorders>
            <w:shd w:fill="EDF2F7" w:val="clear"/>
            <w:tcMar>
              <w:top w:type="dxa" w:w="120"/>
              <w:left w:type="dxa" w:w="200"/>
              <w:bottom w:type="dxa" w:w="120"/>
              <w:right w:type="dxa" w:w="200"/>
            </w:tcMar>
          </w:tcPr>
          <w:p>
            <w:pPr>
              <w:spacing w:after="40"/>
            </w:pPr>
            <w:r>
              <w:rPr>
                <w:rFonts w:ascii="Arial" w:cs="Arial" w:eastAsia="Arial" w:hAnsi="Arial"/>
                <w:b/>
                <w:bCs/>
                <w:color w:val="3B7DD8"/>
                <w:sz w:val="22"/>
                <w:szCs w:val="22"/>
              </w:rPr>
              <w:t xml:space="preserve">Practical Application</w:t>
            </w:r>
          </w:p>
          <w:p>
            <w:r>
              <w:rPr>
                <w:rFonts w:ascii="Arial" w:cs="Arial" w:eastAsia="Arial" w:hAnsi="Arial"/>
                <w:color w:val="2E4057"/>
                <w:sz w:val="20"/>
                <w:szCs w:val="20"/>
              </w:rPr>
              <w:t xml:space="preserve">SB 9 is particularly valuable for your single-family lot projects. For 1378 Longfellow in San Jose, evaluate whether a lot split combined with duplexes could yield 4 units instead of the primary residence + ADU you currently plan. Run the pro forma comparison.</w:t>
            </w:r>
          </w:p>
        </w:tc>
      </w:tr>
    </w:tbl>
    <w:p>
      <w:pPr>
        <w:pStyle w:val="Heading3"/>
      </w:pPr>
      <w:r>
        <w:t xml:space="preserve">3.3 SB 330 — Housing Crisis Act of 2019</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Government Code §65589.5, §65905.5, §65913.10, §65941.1, §66300</w:t>
      </w:r>
    </w:p>
    <w:p>
      <w:pPr>
        <w:spacing w:before="80" w:after="80"/>
      </w:pPr>
      <w:r>
        <w:rPr>
          <w:rFonts w:ascii="Arial" w:cs="Arial" w:eastAsia="Arial" w:hAnsi="Arial"/>
          <w:color w:val="1A1A1A"/>
          <w:sz w:val="22"/>
          <w:szCs w:val="22"/>
        </w:rPr>
        <w:t xml:space="preserve">SB 330 enacted sweeping protections for housing development that fundamentally changed the approval landscape. Originally set to expire in 2025, it was extended through 2030 by SB 423.</w:t>
      </w:r>
    </w:p>
    <w:p>
      <w:pPr>
        <w:pStyle w:val="Heading4"/>
      </w:pPr>
      <w:r>
        <w:t xml:space="preserve">Key Provisions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Provision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Code Section</w:t>
            </w:r>
          </w:p>
        </w:tc>
        <w:tc>
          <w:tcPr>
            <w:tcW w:type="dxa" w:w="5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Preliminary Application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§65941.1</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Locks in development standards at time of preliminary application (no project design needed)</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Five-Hearing Cap</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§65905.5</w:t>
            </w:r>
          </w:p>
        </w:tc>
        <w:tc>
          <w:tcPr>
            <w:tcW w:type="dxa" w:w="5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Maximum 5 public hearings for any housing project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Net Loss of Zoning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§66300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Prohibits downzoning or moratoriums that reduce housing capacity</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Housing Accountability Act (strengthened)</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§65589.5</w:t>
            </w:r>
          </w:p>
        </w:tc>
        <w:tc>
          <w:tcPr>
            <w:tcW w:type="dxa" w:w="5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Burden of proof on city to deny housing; must cite specific objective standard violated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Demolition Replacement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§65915.5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Must replace any demolished protected units 1:1 at same affordability level</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Permit Processing</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§65913.10</w:t>
            </w:r>
          </w:p>
        </w:tc>
        <w:tc>
          <w:tcPr>
            <w:tcW w:type="dxa" w:w="5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60-day completeness review; 30-day correction period</w:t>
            </w:r>
          </w:p>
        </w:tc>
      </w:tr>
    </w:tbl>
    <w:p>
      <w:pPr>
        <w:pStyle w:val="Heading4"/>
      </w:pPr>
      <w:r>
        <w:t xml:space="preserve">The Preliminary Application</w:t>
      </w:r>
    </w:p>
    <w:p>
      <w:pPr>
        <w:spacing w:before="80" w:after="80"/>
      </w:pPr>
      <w:r>
        <w:rPr>
          <w:rFonts w:ascii="Arial" w:cs="Arial" w:eastAsia="Arial" w:hAnsi="Arial"/>
          <w:color w:val="1A1A1A"/>
          <w:sz w:val="22"/>
          <w:szCs w:val="22"/>
        </w:rPr>
        <w:t xml:space="preserve">The SB 330 preliminary application is one of the most strategically important tools available to developers. Filing it locks in all applicable development standards, fees, and exactions as of the filing date — before you’ve even designed the project. This protects against fee increases, zoning changes, and new regulations adopted after filing.</w:t>
      </w:r>
    </w:p>
    <w:p>
      <w:pPr>
        <w:spacing w:before="80" w:after="80"/>
      </w:pPr>
      <w:r>
        <w:rPr>
          <w:rFonts w:ascii="Arial" w:cs="Arial" w:eastAsia="Arial" w:hAnsi="Arial"/>
          <w:color w:val="1A1A1A"/>
          <w:sz w:val="22"/>
          <w:szCs w:val="22"/>
        </w:rPr>
        <w:t xml:space="preserve">The preliminary application requires only basic project information: site address, project description, number of units/square footage, and a site plan showing the project footprint. It does not require architectural drawings, engineering plans, or environmental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none" w:sz="0"/>
              <w:bottom w:val="none" w:sz="0"/>
              <w:right w:val="none" w:sz="0"/>
            </w:tcBorders>
            <w:shd w:fill="EDF2F7" w:val="clear"/>
            <w:tcMar>
              <w:top w:type="dxa" w:w="120"/>
              <w:left w:type="dxa" w:w="200"/>
              <w:bottom w:type="dxa" w:w="120"/>
              <w:right w:type="dxa" w:w="200"/>
            </w:tcMar>
          </w:tcPr>
          <w:p>
            <w:pPr>
              <w:spacing w:after="40"/>
            </w:pPr>
            <w:r>
              <w:rPr>
                <w:rFonts w:ascii="Arial" w:cs="Arial" w:eastAsia="Arial" w:hAnsi="Arial"/>
                <w:b/>
                <w:bCs/>
                <w:color w:val="3B7DD8"/>
                <w:sz w:val="22"/>
                <w:szCs w:val="22"/>
              </w:rPr>
              <w:t xml:space="preserve">Strategic Value</w:t>
            </w:r>
          </w:p>
          <w:p>
            <w:r>
              <w:rPr>
                <w:rFonts w:ascii="Arial" w:cs="Arial" w:eastAsia="Arial" w:hAnsi="Arial"/>
                <w:color w:val="2E4057"/>
                <w:sz w:val="20"/>
                <w:szCs w:val="20"/>
              </w:rPr>
              <w:t xml:space="preserve">Always file your SB 330 preliminary application as early as possible, even before your design is finalized. This creates a vesting date that protects your project economics. Fee increases of $5K–10K per unit between filing and permit issuance are common in Bay Area jurisdictions.</w:t>
            </w:r>
          </w:p>
        </w:tc>
      </w:tr>
    </w:tbl>
    <w:p>
      <w:pPr>
        <w:pStyle w:val="Heading3"/>
      </w:pPr>
      <w:r>
        <w:t xml:space="preserve">3.4 Housing Accountability Act (HAA)</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Government Code §65589.5</w:t>
      </w:r>
    </w:p>
    <w:p>
      <w:pPr>
        <w:spacing w:before="80" w:after="80"/>
      </w:pPr>
      <w:r>
        <w:rPr>
          <w:rFonts w:ascii="Arial" w:cs="Arial" w:eastAsia="Arial" w:hAnsi="Arial"/>
          <w:color w:val="1A1A1A"/>
          <w:sz w:val="22"/>
          <w:szCs w:val="22"/>
        </w:rPr>
        <w:t xml:space="preserve">The HAA is the enforcement backbone of California’s housing production mandate. It severely limits a local government’s ability to deny, reduce the density of, or impose conditions that make infeasible a housing development project that complies with objective planning standards.</w:t>
      </w:r>
    </w:p>
    <w:p>
      <w:pPr>
        <w:pStyle w:val="Heading4"/>
      </w:pPr>
      <w:r>
        <w:t xml:space="preserve">Key Requirements</w:t>
      </w:r>
    </w:p>
    <w:p>
      <w:pPr>
        <w:pStyle w:val="ListParagraph"/>
        <w:numPr>
          <w:ilvl w:val="0"/>
          <w:numId w:val="6"/>
        </w:numPr>
      </w:pPr>
      <w:r>
        <w:rPr>
          <w:rFonts w:ascii="Arial" w:cs="Arial" w:eastAsia="Arial" w:hAnsi="Arial"/>
          <w:color w:val="1A1A1A"/>
          <w:sz w:val="22"/>
          <w:szCs w:val="22"/>
        </w:rPr>
        <w:t xml:space="preserve">A jurisdiction may not disapprove a housing project that conforms to applicable, objective general plan and zoning standards unless it makes written findings based on a preponderance of the evidence that the project would have a “specific, adverse impact upon the public health or safety.”</w:t>
      </w:r>
    </w:p>
    <w:p>
      <w:pPr>
        <w:pStyle w:val="ListParagraph"/>
        <w:numPr>
          <w:ilvl w:val="0"/>
          <w:numId w:val="6"/>
        </w:numPr>
      </w:pPr>
      <w:r>
        <w:rPr>
          <w:rFonts w:ascii="Arial" w:cs="Arial" w:eastAsia="Arial" w:hAnsi="Arial"/>
          <w:color w:val="1A1A1A"/>
          <w:sz w:val="22"/>
          <w:szCs w:val="22"/>
        </w:rPr>
        <w:t xml:space="preserve">The “specific, adverse impact” must be identified in writing, must not be based on general policy objections, and must have no feasible method to mitigate or avoid.</w:t>
      </w:r>
    </w:p>
    <w:p>
      <w:pPr>
        <w:pStyle w:val="ListParagraph"/>
        <w:numPr>
          <w:ilvl w:val="0"/>
          <w:numId w:val="6"/>
        </w:numPr>
      </w:pPr>
      <w:r>
        <w:rPr>
          <w:rFonts w:ascii="Arial" w:cs="Arial" w:eastAsia="Arial" w:hAnsi="Arial"/>
          <w:color w:val="1A1A1A"/>
          <w:sz w:val="22"/>
          <w:szCs w:val="22"/>
        </w:rPr>
        <w:t xml:space="preserve">Conditions of approval may not reduce project density by more than the minimum necessary to address the identified impact.</w:t>
      </w:r>
    </w:p>
    <w:p>
      <w:pPr>
        <w:pStyle w:val="ListParagraph"/>
        <w:numPr>
          <w:ilvl w:val="0"/>
          <w:numId w:val="6"/>
        </w:numPr>
      </w:pPr>
      <w:r>
        <w:rPr>
          <w:rFonts w:ascii="Arial" w:cs="Arial" w:eastAsia="Arial" w:hAnsi="Arial"/>
          <w:color w:val="1A1A1A"/>
          <w:sz w:val="22"/>
          <w:szCs w:val="22"/>
        </w:rPr>
        <w:t xml:space="preserve">Financial penalties of $10,000 per unit (minimum) apply to jurisdictions that violate the HAA, plus attorney’s fees for prevailing plaintiffs.</w:t>
      </w:r>
    </w:p>
    <w:p>
      <w:pPr>
        <w:pStyle w:val="Heading3"/>
      </w:pPr>
      <w:r>
        <w:t xml:space="preserve">3.5 Density Bonus Law</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Government Code §65915–65918</w:t>
      </w:r>
    </w:p>
    <w:p>
      <w:pPr>
        <w:spacing w:before="80" w:after="80"/>
      </w:pPr>
      <w:r>
        <w:rPr>
          <w:rFonts w:ascii="Arial" w:cs="Arial" w:eastAsia="Arial" w:hAnsi="Arial"/>
          <w:color w:val="1A1A1A"/>
          <w:sz w:val="22"/>
          <w:szCs w:val="22"/>
        </w:rPr>
        <w:t xml:space="preserve">The Density Bonus Law mandates that local governments provide increased density and development incentives/concessions to projects that include affordable or senior housing components. This is a critical tool for maximizing unit count and project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600"/>
        <w:gridCol w:w="31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Affordable Category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Minimum Units</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Base Density Bonus</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Maximum Bonus</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Concessions/Incentives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Very Low Income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50% (at 15%+ VLI)</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 (5%), 2 (10%), 3 (15%)</w:t>
            </w:r>
          </w:p>
        </w:tc>
      </w:tr>
      <w:tr>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Low Income</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10%</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20%</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50% (at 24%+ LI)</w:t>
            </w:r>
          </w:p>
        </w:tc>
        <w:tc>
          <w:tcPr>
            <w:tcW w:type="dxa" w:w="3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 (10%), 2 (17%), 3 (24%)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Moderate Income (condo)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35% (at 40%+ MOD)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 (10%), 2 (20%), 3 (30%)</w:t>
            </w:r>
          </w:p>
        </w:tc>
      </w:tr>
      <w:tr>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Senior Housing</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100% senior</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20%</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20%</w:t>
            </w:r>
          </w:p>
        </w:tc>
        <w:tc>
          <w:tcPr>
            <w:tcW w:type="dxa" w:w="3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Land Donation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Per §65915(g)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35%</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Per agreement</w:t>
            </w:r>
          </w:p>
        </w:tc>
      </w:tr>
      <w:tr>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100% Affordable</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100%</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80%</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80%</w:t>
            </w:r>
          </w:p>
        </w:tc>
        <w:tc>
          <w:tcPr>
            <w:tcW w:type="dxa" w:w="3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4 + unlimited waivers</w:t>
            </w:r>
          </w:p>
        </w:tc>
      </w:tr>
    </w:tbl>
    <w:p>
      <w:pPr>
        <w:pStyle w:val="Heading4"/>
      </w:pPr>
      <w:r>
        <w:t xml:space="preserve">Concessions and Incentives</w:t>
      </w:r>
    </w:p>
    <w:p>
      <w:pPr>
        <w:spacing w:before="80" w:after="80"/>
      </w:pPr>
      <w:r>
        <w:rPr>
          <w:rFonts w:ascii="Arial" w:cs="Arial" w:eastAsia="Arial" w:hAnsi="Arial"/>
          <w:color w:val="1A1A1A"/>
          <w:sz w:val="22"/>
          <w:szCs w:val="22"/>
        </w:rPr>
        <w:t xml:space="preserve">A concession/incentive is a relaxation of a development standard that results in identifiable, financially sufficient, and actual cost reductions. Common concessions include reduced parking requirements, increased height, reduced setbacks, and increased FAR. The jurisdiction may deny a concession only if it can make a written finding that the concession would have a specific, adverse impact on health, safety, or the physical environment, and there is no feasible alternative.</w:t>
      </w:r>
    </w:p>
    <w:p>
      <w:pPr>
        <w:pStyle w:val="Heading4"/>
      </w:pPr>
      <w:r>
        <w:t xml:space="preserve">Waivers and Reductions of Development Standards</w:t>
      </w:r>
    </w:p>
    <w:p>
      <w:pPr>
        <w:spacing w:before="80" w:after="80"/>
      </w:pPr>
      <w:r>
        <w:rPr>
          <w:rFonts w:ascii="Arial" w:cs="Arial" w:eastAsia="Arial" w:hAnsi="Arial"/>
          <w:color w:val="1A1A1A"/>
          <w:sz w:val="22"/>
          <w:szCs w:val="22"/>
        </w:rPr>
        <w:t xml:space="preserve">Separate from concessions, a developer may request a waiver or reduction of any development standard that would physically preclude construction at the permitted density. Waivers are unlimited in number. The jurisdiction cannot deny a waiver unless it finds it would have a specific adverse impact on health or safety.</w:t>
      </w:r>
    </w:p>
    <w:p>
      <w:pPr>
        <w:pStyle w:val="Heading3"/>
      </w:pPr>
      <w:r>
        <w:t xml:space="preserve">3.6 Accessory Dwelling Unit (ADU) Law</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Government Code §65852.2, §65852.22</w:t>
      </w:r>
    </w:p>
    <w:p>
      <w:pPr>
        <w:spacing w:before="80" w:after="80"/>
      </w:pPr>
      <w:r>
        <w:rPr>
          <w:rFonts w:ascii="Arial" w:cs="Arial" w:eastAsia="Arial" w:hAnsi="Arial"/>
          <w:color w:val="1A1A1A"/>
          <w:sz w:val="22"/>
          <w:szCs w:val="22"/>
        </w:rPr>
        <w:t xml:space="preserve">ADU law has been progressively expanded since 2017 to remove barriers to construction of secondary units. ADUs are now permitted by right on any residential or mixed-use lot, subject to limited objective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ADU Type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Size Limit</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Setback</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Key Rules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Detached ADU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1,200 SF (or local standard)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 ft side/rear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Must allow at least 800 SF regardless of lot coverage or FAR</w:t>
            </w:r>
          </w:p>
        </w:tc>
      </w:tr>
      <w:tr>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Attached ADU</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50% of primary or 1,200 SF</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4 ft side/rear</w:t>
            </w:r>
          </w:p>
        </w:tc>
        <w:tc>
          <w:tcPr>
            <w:tcW w:type="dxa" w:w="3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No replacement parking if garage converted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JADU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500 SF max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None (within existing)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Must be within existing primary dwelling; efficiency kitchen; owner-occupancy required</w:t>
            </w:r>
          </w:p>
        </w:tc>
      </w:tr>
      <w:tr>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Conversion ADU</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No size limit</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No setback required</w:t>
            </w:r>
          </w:p>
        </w:tc>
        <w:tc>
          <w:tcPr>
            <w:tcW w:type="dxa" w:w="3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Converting existing structure; no limit on number on multi-family lots</w:t>
            </w:r>
          </w:p>
        </w:tc>
      </w:tr>
    </w:tbl>
    <w:p>
      <w:pPr>
        <w:pStyle w:val="Heading4"/>
      </w:pPr>
      <w:r>
        <w:t xml:space="preserve">Recent ADU Law Updates</w:t>
      </w:r>
    </w:p>
    <w:p>
      <w:pPr>
        <w:pStyle w:val="ListParagraph"/>
        <w:numPr>
          <w:ilvl w:val="0"/>
          <w:numId w:val="7"/>
        </w:numPr>
      </w:pPr>
      <w:r>
        <w:rPr>
          <w:rFonts w:ascii="Arial" w:cs="Arial" w:eastAsia="Arial" w:hAnsi="Arial"/>
          <w:color w:val="1A1A1A"/>
          <w:sz w:val="22"/>
          <w:szCs w:val="22"/>
        </w:rPr>
        <w:t xml:space="preserve">AB 68 / AB 881: Reduced local discretion over ADU approval; 60-day approval deadline</w:t>
      </w:r>
    </w:p>
    <w:p>
      <w:pPr>
        <w:pStyle w:val="ListParagraph"/>
        <w:numPr>
          <w:ilvl w:val="0"/>
          <w:numId w:val="7"/>
        </w:numPr>
      </w:pPr>
      <w:r>
        <w:rPr>
          <w:rFonts w:ascii="Arial" w:cs="Arial" w:eastAsia="Arial" w:hAnsi="Arial"/>
          <w:color w:val="1A1A1A"/>
          <w:sz w:val="22"/>
          <w:szCs w:val="22"/>
        </w:rPr>
        <w:t xml:space="preserve">AB 671: Requires housing elements to incentivize affordable ADUs</w:t>
      </w:r>
    </w:p>
    <w:p>
      <w:pPr>
        <w:pStyle w:val="ListParagraph"/>
        <w:numPr>
          <w:ilvl w:val="0"/>
          <w:numId w:val="7"/>
        </w:numPr>
      </w:pPr>
      <w:r>
        <w:rPr>
          <w:rFonts w:ascii="Arial" w:cs="Arial" w:eastAsia="Arial" w:hAnsi="Arial"/>
          <w:color w:val="1A1A1A"/>
          <w:sz w:val="22"/>
          <w:szCs w:val="22"/>
        </w:rPr>
        <w:t xml:space="preserve">AB 2221: Clarified that ADUs are permitted on lots with proposed or existing multifamily buildings</w:t>
      </w:r>
    </w:p>
    <w:p>
      <w:pPr>
        <w:pStyle w:val="ListParagraph"/>
        <w:numPr>
          <w:ilvl w:val="0"/>
          <w:numId w:val="7"/>
        </w:numPr>
      </w:pPr>
      <w:r>
        <w:rPr>
          <w:rFonts w:ascii="Arial" w:cs="Arial" w:eastAsia="Arial" w:hAnsi="Arial"/>
          <w:color w:val="1A1A1A"/>
          <w:sz w:val="22"/>
          <w:szCs w:val="22"/>
        </w:rPr>
        <w:t xml:space="preserve">SB 897: Set height standards (16 ft detached, 18 ft near transit, 25 ft above primary)</w:t>
      </w:r>
    </w:p>
    <w:p>
      <w:pPr>
        <w:pStyle w:val="ListParagraph"/>
        <w:numPr>
          <w:ilvl w:val="0"/>
          <w:numId w:val="7"/>
        </w:numPr>
      </w:pPr>
      <w:r>
        <w:rPr>
          <w:rFonts w:ascii="Arial" w:cs="Arial" w:eastAsia="Arial" w:hAnsi="Arial"/>
          <w:color w:val="1A1A1A"/>
          <w:sz w:val="22"/>
          <w:szCs w:val="22"/>
        </w:rPr>
        <w:t xml:space="preserve">AB 1033: Allows ADUs to be sold separately as condominiums (if local jurisdiction opts in)</w:t>
      </w:r>
    </w:p>
    <w:p>
      <w:r>
        <w:br w:type="page"/>
      </w:r>
    </w:p>
    <w:p>
      <w:pPr>
        <w:pStyle w:val="Heading1"/>
      </w:pPr>
      <w:r>
        <w:t xml:space="preserve">Part II: CEQA — California Environmental Quality Act</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Public Resources Code §21000+; CEQA Guidelines 14 CCR §15000+</w:t>
      </w:r>
    </w:p>
    <w:p>
      <w:pPr>
        <w:spacing w:before="80" w:after="80"/>
      </w:pPr>
      <w:r>
        <w:rPr>
          <w:rFonts w:ascii="Arial" w:cs="Arial" w:eastAsia="Arial" w:hAnsi="Arial"/>
          <w:color w:val="1A1A1A"/>
          <w:sz w:val="22"/>
          <w:szCs w:val="22"/>
        </w:rPr>
        <w:t xml:space="preserve">CEQA is the single most consequential regulatory process in California development. It can add 1–3 years and $100K+ to a project’s cost, and is the primary vehicle for project opponents to challenge approvals in court. Mastering CEQA is not optional.</w:t>
      </w:r>
    </w:p>
    <w:p>
      <w:pPr>
        <w:pStyle w:val="Heading2"/>
      </w:pPr>
      <w:r>
        <w:t xml:space="preserve">Chapter 4: CEQA Decision Framework</w:t>
      </w:r>
    </w:p>
    <w:p>
      <w:pPr>
        <w:pStyle w:val="Heading3"/>
      </w:pPr>
      <w:r>
        <w:t xml:space="preserve">4.1 The CEQA Decision Tree</w:t>
      </w:r>
    </w:p>
    <w:p>
      <w:pPr>
        <w:spacing w:before="80" w:after="80"/>
      </w:pPr>
      <w:r>
        <w:rPr>
          <w:rFonts w:ascii="Arial" w:cs="Arial" w:eastAsia="Arial" w:hAnsi="Arial"/>
          <w:color w:val="1A1A1A"/>
          <w:sz w:val="22"/>
          <w:szCs w:val="22"/>
        </w:rPr>
        <w:t xml:space="preserve">Every project follows a decision tree that determines the required level of environmental review. The critical decision points, in order, are:</w:t>
      </w:r>
    </w:p>
    <w:p>
      <w:pPr>
        <w:pStyle w:val="ListParagraph"/>
        <w:numPr>
          <w:ilvl w:val="0"/>
          <w:numId w:val="8"/>
        </w:numPr>
      </w:pPr>
      <w:r>
        <w:rPr>
          <w:rFonts w:ascii="Arial" w:cs="Arial" w:eastAsia="Arial" w:hAnsi="Arial"/>
          <w:color w:val="1A1A1A"/>
          <w:sz w:val="22"/>
          <w:szCs w:val="22"/>
        </w:rPr>
        <w:t xml:space="preserve">Is it a “project” under CEQA? (§15378) — If no discretionary approval is required, CEQA does not apply.</w:t>
      </w:r>
    </w:p>
    <w:p>
      <w:pPr>
        <w:pStyle w:val="ListParagraph"/>
        <w:numPr>
          <w:ilvl w:val="0"/>
          <w:numId w:val="8"/>
        </w:numPr>
      </w:pPr>
      <w:r>
        <w:rPr>
          <w:rFonts w:ascii="Arial" w:cs="Arial" w:eastAsia="Arial" w:hAnsi="Arial"/>
          <w:color w:val="1A1A1A"/>
          <w:sz w:val="22"/>
          <w:szCs w:val="22"/>
        </w:rPr>
        <w:t xml:space="preserve">Is it exempt? Statutory exemptions (§15260–15285) and categorical exemptions (§15300–15333) can eliminate CEQA review entirely.</w:t>
      </w:r>
    </w:p>
    <w:p>
      <w:pPr>
        <w:pStyle w:val="ListParagraph"/>
        <w:numPr>
          <w:ilvl w:val="0"/>
          <w:numId w:val="8"/>
        </w:numPr>
      </w:pPr>
      <w:r>
        <w:rPr>
          <w:rFonts w:ascii="Arial" w:cs="Arial" w:eastAsia="Arial" w:hAnsi="Arial"/>
          <w:color w:val="1A1A1A"/>
          <w:sz w:val="22"/>
          <w:szCs w:val="22"/>
        </w:rPr>
        <w:t xml:space="preserve">Is there substantial evidence of a potentially significant environmental effect? If no — Negative Declaration. If effects can be mitigated to less-than-significant — Mitigated Negative Declaration.</w:t>
      </w:r>
    </w:p>
    <w:p>
      <w:pPr>
        <w:pStyle w:val="ListParagraph"/>
        <w:numPr>
          <w:ilvl w:val="0"/>
          <w:numId w:val="8"/>
        </w:numPr>
      </w:pPr>
      <w:r>
        <w:rPr>
          <w:rFonts w:ascii="Arial" w:cs="Arial" w:eastAsia="Arial" w:hAnsi="Arial"/>
          <w:color w:val="1A1A1A"/>
          <w:sz w:val="22"/>
          <w:szCs w:val="22"/>
        </w:rPr>
        <w:t xml:space="preserve">If significant unmitigable impacts exist — full Environmental Impact Report (EIR) required.</w:t>
      </w:r>
    </w:p>
    <w:p>
      <w:pPr>
        <w:pStyle w:val="Heading3"/>
      </w:pPr>
      <w:r>
        <w:t xml:space="preserve">4.2 Key Categorical Exemptions for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29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Class</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Typical Application</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Size/Scope Limits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Class 1 (§15301)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Existing Facilities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Minor alteration, addition, remodel of existing structure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Up to 10,000 SF in non-sensitive area</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Class 3 (§15303)</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New Small Structures</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New single-family, duplex, apartment (up to limits)</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Up to 6 dwelling units in urbanized area; 4 commercial buildings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Class 4 (§15304)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Minor Alterations to Land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Grading, fill, landscaping on &lt; 5 acres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Must not be in sensitive area</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Class 11 (§15311)</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Accessory Structures</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On-site accessory structures</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Garage, carport, fence, small utility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Class 15 (§15315)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Minor Land Divisions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Subdivision into 4 or fewer parcels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Must conform to GP and zoning; all services available</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Class 32 (§15332)</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Infill Development</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Urban infill meeting specific criteria</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Must be GP-consistent, ≤5 acres, no habitat/farmland impact</w:t>
            </w:r>
          </w:p>
        </w:tc>
      </w:tr>
    </w:tbl>
    <w:p>
      <w:pPr>
        <w:pStyle w:val="Heading3"/>
      </w:pPr>
      <w:r>
        <w:t xml:space="preserve">4.3 Exceptions to Categorical Exemptions</w:t>
      </w:r>
    </w:p>
    <w:p>
      <w:pPr>
        <w:spacing w:before="80" w:after="80"/>
      </w:pPr>
      <w:r>
        <w:rPr>
          <w:rFonts w:ascii="Arial" w:cs="Arial" w:eastAsia="Arial" w:hAnsi="Arial"/>
          <w:color w:val="1A1A1A"/>
          <w:sz w:val="22"/>
          <w:szCs w:val="22"/>
        </w:rPr>
        <w:t xml:space="preserve">Even if a project fits a categorical exemption, the exemption does not apply if any of these six exceptions apply (§15300.2):</w:t>
      </w:r>
    </w:p>
    <w:p>
      <w:pPr>
        <w:pStyle w:val="ListParagraph"/>
        <w:numPr>
          <w:ilvl w:val="0"/>
          <w:numId w:val="9"/>
        </w:numPr>
      </w:pPr>
      <w:r>
        <w:rPr>
          <w:rFonts w:ascii="Arial" w:cs="Arial" w:eastAsia="Arial" w:hAnsi="Arial"/>
          <w:color w:val="1A1A1A"/>
          <w:sz w:val="22"/>
          <w:szCs w:val="22"/>
        </w:rPr>
        <w:t xml:space="preserve">Cumulative Impact: Successive projects of the same type in the same area create a significant cumulative impact</w:t>
      </w:r>
    </w:p>
    <w:p>
      <w:pPr>
        <w:pStyle w:val="ListParagraph"/>
        <w:numPr>
          <w:ilvl w:val="0"/>
          <w:numId w:val="2"/>
        </w:numPr>
      </w:pPr>
      <w:r>
        <w:rPr>
          <w:rFonts w:ascii="Arial" w:cs="Arial" w:eastAsia="Arial" w:hAnsi="Arial"/>
          <w:color w:val="1A1A1A"/>
          <w:sz w:val="22"/>
          <w:szCs w:val="22"/>
        </w:rPr>
        <w:t xml:space="preserve">Significant Effect: Unusual circumstances cause a reasonable possibility of significant effect</w:t>
      </w:r>
    </w:p>
    <w:p>
      <w:pPr>
        <w:pStyle w:val="ListParagraph"/>
        <w:numPr>
          <w:ilvl w:val="0"/>
          <w:numId w:val="9"/>
        </w:numPr>
      </w:pPr>
      <w:r>
        <w:rPr>
          <w:rFonts w:ascii="Arial" w:cs="Arial" w:eastAsia="Arial" w:hAnsi="Arial"/>
          <w:color w:val="1A1A1A"/>
          <w:sz w:val="22"/>
          <w:szCs w:val="22"/>
        </w:rPr>
        <w:t xml:space="preserve">Scenic Highway: Project damages a scenic resource on or near a state scenic highway</w:t>
      </w:r>
    </w:p>
    <w:p>
      <w:pPr>
        <w:pStyle w:val="ListParagraph"/>
        <w:numPr>
          <w:ilvl w:val="0"/>
          <w:numId w:val="9"/>
        </w:numPr>
      </w:pPr>
      <w:r>
        <w:rPr>
          <w:rFonts w:ascii="Arial" w:cs="Arial" w:eastAsia="Arial" w:hAnsi="Arial"/>
          <w:color w:val="1A1A1A"/>
          <w:sz w:val="22"/>
          <w:szCs w:val="22"/>
        </w:rPr>
        <w:t xml:space="preserve">Hazardous Waste Site: Project is on a listed hazardous waste site</w:t>
      </w:r>
    </w:p>
    <w:p>
      <w:pPr>
        <w:pStyle w:val="ListParagraph"/>
        <w:numPr>
          <w:ilvl w:val="0"/>
          <w:numId w:val="9"/>
        </w:numPr>
      </w:pPr>
      <w:r>
        <w:rPr>
          <w:rFonts w:ascii="Arial" w:cs="Arial" w:eastAsia="Arial" w:hAnsi="Arial"/>
          <w:color w:val="1A1A1A"/>
          <w:sz w:val="22"/>
          <w:szCs w:val="22"/>
        </w:rPr>
        <w:t xml:space="preserve">Historical Resource: Project may cause a substantial change to a historical resource</w:t>
      </w:r>
    </w:p>
    <w:p>
      <w:pPr>
        <w:pStyle w:val="ListParagraph"/>
        <w:numPr>
          <w:ilvl w:val="0"/>
          <w:numId w:val="9"/>
        </w:numPr>
      </w:pPr>
      <w:r>
        <w:rPr>
          <w:rFonts w:ascii="Arial" w:cs="Arial" w:eastAsia="Arial" w:hAnsi="Arial"/>
          <w:color w:val="1A1A1A"/>
          <w:sz w:val="22"/>
          <w:szCs w:val="22"/>
        </w:rPr>
        <w:t xml:space="preserve">Location: Project is in a particularly sensitive environment (wetlands, species habitat)</w:t>
      </w:r>
    </w:p>
    <w:p>
      <w:pPr>
        <w:pStyle w:val="Heading3"/>
      </w:pPr>
      <w:r>
        <w:t xml:space="preserve">4.4 Environmental Impact Reports (EIR)</w:t>
      </w:r>
    </w:p>
    <w:p>
      <w:pPr>
        <w:spacing w:before="80" w:after="80"/>
      </w:pPr>
      <w:r>
        <w:rPr>
          <w:rFonts w:ascii="Arial" w:cs="Arial" w:eastAsia="Arial" w:hAnsi="Arial"/>
          <w:color w:val="1A1A1A"/>
          <w:sz w:val="22"/>
          <w:szCs w:val="22"/>
        </w:rPr>
        <w:t xml:space="preserve">When an EIR is required, expect a minimum 18–24 month process with costs ranging from $200K to $2M+ depending on project complexity. The EIR must analyze all potentially significant environmental effects and identify feasible mitigation measures and alternatives.</w:t>
      </w:r>
    </w:p>
    <w:p>
      <w:pPr>
        <w:pStyle w:val="Heading4"/>
      </w:pPr>
      <w:r>
        <w:t xml:space="preserve">EIR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Key Actions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Notice of Preparation (NOP)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30 days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Public and agency scoping; defines EIR scope</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Draft EIR Preparation</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6–12 months</w:t>
            </w:r>
          </w:p>
        </w:tc>
        <w:tc>
          <w:tcPr>
            <w:tcW w:type="dxa" w:w="4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Technical studies; analysis of impacts and mitigation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Public Review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45 days (minimum)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Public comment period on Draft EIR</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Final EIR / Responses</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3–6 months</w:t>
            </w:r>
          </w:p>
        </w:tc>
        <w:tc>
          <w:tcPr>
            <w:tcW w:type="dxa" w:w="4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Respond to all substantive comments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Certification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 months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Lead agency certifies EIR; adopts findings and MMRP</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CEQA Litigation Window</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30 days</w:t>
            </w:r>
          </w:p>
        </w:tc>
        <w:tc>
          <w:tcPr>
            <w:tcW w:type="dxa" w:w="4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Statute of limitations for legal challenge</w:t>
            </w:r>
          </w:p>
        </w:tc>
      </w:tr>
    </w:tbl>
    <w:p>
      <w:pPr>
        <w:pStyle w:val="Heading3"/>
      </w:pPr>
      <w:r>
        <w:t xml:space="preserve">4.5 The Fair Argument Standard</w:t>
      </w:r>
    </w:p>
    <w:p>
      <w:pPr>
        <w:spacing w:before="80" w:after="80"/>
      </w:pPr>
      <w:r>
        <w:rPr>
          <w:rFonts w:ascii="Arial" w:cs="Arial" w:eastAsia="Arial" w:hAnsi="Arial"/>
          <w:color w:val="1A1A1A"/>
          <w:sz w:val="22"/>
          <w:szCs w:val="22"/>
        </w:rPr>
        <w:t xml:space="preserve">This is the most litigated and misunderstood aspect of CEQA. When a project opponent argues that an EIR (rather than a Negative Declaration) is required, the “fair argument” standard applies: if there is substantial evidence in the record supporting a fair argument that the project may have a significant environmental effect, an EIR must be prepared, even if there is also substantial evidence that the effect will not be significant.</w:t>
      </w:r>
    </w:p>
    <w:p>
      <w:pPr>
        <w:spacing w:before="80" w:after="80"/>
      </w:pPr>
      <w:r>
        <w:rPr>
          <w:rFonts w:ascii="Arial" w:cs="Arial" w:eastAsia="Arial" w:hAnsi="Arial"/>
          <w:color w:val="1A1A1A"/>
          <w:sz w:val="22"/>
          <w:szCs w:val="22"/>
        </w:rPr>
        <w:t xml:space="preserve">This is a low bar that favors environmental review. Courts have held that substantial evidence can include expert opinion, agency comments, and even testimony from lay witnesses with relevant personal observations. The practical implication: if your project is controversial, assume opponents can find a “fair argument” and plan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none" w:sz="0"/>
              <w:bottom w:val="none" w:sz="0"/>
              <w:right w:val="none" w:sz="0"/>
            </w:tcBorders>
            <w:shd w:fill="EDF2F7" w:val="clear"/>
            <w:tcMar>
              <w:top w:type="dxa" w:w="120"/>
              <w:left w:type="dxa" w:w="200"/>
              <w:bottom w:type="dxa" w:w="120"/>
              <w:right w:type="dxa" w:w="200"/>
            </w:tcMar>
          </w:tcPr>
          <w:p>
            <w:pPr>
              <w:spacing w:after="40"/>
            </w:pPr>
            <w:r>
              <w:rPr>
                <w:rFonts w:ascii="Arial" w:cs="Arial" w:eastAsia="Arial" w:hAnsi="Arial"/>
                <w:b/>
                <w:bCs/>
                <w:color w:val="3B7DD8"/>
                <w:sz w:val="22"/>
                <w:szCs w:val="22"/>
              </w:rPr>
              <w:t xml:space="preserve">Litigation Defense Strategy</w:t>
            </w:r>
          </w:p>
          <w:p>
            <w:r>
              <w:rPr>
                <w:rFonts w:ascii="Arial" w:cs="Arial" w:eastAsia="Arial" w:hAnsi="Arial"/>
                <w:color w:val="2E4057"/>
                <w:sz w:val="20"/>
                <w:szCs w:val="20"/>
              </w:rPr>
              <w:t xml:space="preserve">Build a robust administrative record from day one. Document every environmental study, agency consultation, and public comment response meticulously. The record is what courts review — if it’s not in the record, it doesn’t exist for litigation purposes.</w:t>
            </w:r>
          </w:p>
        </w:tc>
      </w:tr>
    </w:tbl>
    <w:p>
      <w:r>
        <w:br w:type="page"/>
      </w:r>
    </w:p>
    <w:p>
      <w:pPr>
        <w:pStyle w:val="Heading1"/>
      </w:pPr>
      <w:r>
        <w:t xml:space="preserve">Part III: Subdivision &amp; Mapping</w:t>
      </w:r>
    </w:p>
    <w:p>
      <w:pPr>
        <w:pStyle w:val="Heading2"/>
      </w:pPr>
      <w:r>
        <w:t xml:space="preserve">Chapter 5: Subdivision Map Act</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Government Code §66410–66499.38</w:t>
      </w:r>
    </w:p>
    <w:p>
      <w:pPr>
        <w:spacing w:before="80" w:after="80"/>
      </w:pPr>
      <w:r>
        <w:rPr>
          <w:rFonts w:ascii="Arial" w:cs="Arial" w:eastAsia="Arial" w:hAnsi="Arial"/>
          <w:color w:val="1A1A1A"/>
          <w:sz w:val="22"/>
          <w:szCs w:val="22"/>
        </w:rPr>
        <w:t xml:space="preserve">The Subdivision Map Act governs the division of land in California. Any time you divide a parcel into two or more lots, you must comply with the Map Act and the local subdivision ordinance. The type of map required depends on the number of resulting parcels.</w:t>
      </w:r>
    </w:p>
    <w:p>
      <w:pPr>
        <w:pStyle w:val="Heading3"/>
      </w:pPr>
      <w:r>
        <w:t xml:space="preserve">5.1 Map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Map Type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Parcels Created</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Approval Authority</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Key Features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Parcel Map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2–4 parcels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Typically advisory agency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Simpler process; fewer conditions; 24-month approval life</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Tentative Map</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5+ parcels</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Planning Commission (typically)</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Full environmental review; 36-month approval life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Vesting Tentative Map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 parcels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Planning Commission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Same as tentative + vests development rights at application date</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Final Map</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N/A (follows tentative)</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City Council/Board</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Engineering compliance; recorded with county recorder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Lot Line Adjustment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new parcels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Staff/advisory agency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Adjusts boundary between 2–4 existing parcels; no new lots</w:t>
            </w:r>
          </w:p>
        </w:tc>
      </w:tr>
    </w:tbl>
    <w:p>
      <w:pPr>
        <w:pStyle w:val="Heading3"/>
      </w:pPr>
      <w:r>
        <w:t xml:space="preserve">5.2 Vesting Tentative Maps</w:t>
      </w:r>
    </w:p>
    <w:p>
      <w:pPr>
        <w:spacing w:before="80" w:after="80"/>
      </w:pPr>
      <w:r>
        <w:rPr>
          <w:rFonts w:ascii="Arial" w:cs="Arial" w:eastAsia="Arial" w:hAnsi="Arial"/>
          <w:color w:val="1A1A1A"/>
          <w:sz w:val="22"/>
          <w:szCs w:val="22"/>
        </w:rPr>
        <w:t xml:space="preserve">A vesting tentative map (§66498.1–66498.9) confers a vested right to proceed with development in substantial compliance with the ordinances, policies, and standards in effect at the time the application is deemed complete. This is a powerful protection against subsequent changes in law, fees, or standards.</w:t>
      </w:r>
    </w:p>
    <w:p>
      <w:pPr>
        <w:spacing w:before="80" w:after="80"/>
      </w:pPr>
      <w:r>
        <w:rPr>
          <w:rFonts w:ascii="Arial" w:cs="Arial" w:eastAsia="Arial" w:hAnsi="Arial"/>
          <w:color w:val="1A1A1A"/>
          <w:sz w:val="22"/>
          <w:szCs w:val="22"/>
        </w:rPr>
        <w:t xml:space="preserve">The vesting right lasts for the life of the map plus extensions. It can only be overridden if the jurisdiction finds that failure to apply a new regulation would place residents in a condition dangerous to their health or safety, or if the regulation is specifically mandated by state or federal law.</w:t>
      </w:r>
    </w:p>
    <w:p>
      <w:pPr>
        <w:pStyle w:val="Heading3"/>
      </w:pPr>
      <w:r>
        <w:t xml:space="preserve">5.3 Subdivision Timeline and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7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Map Type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Initial Life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Extensions Available</w:t>
            </w:r>
          </w:p>
        </w:tc>
        <w:tc>
          <w:tcPr>
            <w:tcW w:type="dxa" w:w="1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Maximum Total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Tentative Map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36 months from approval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Up to 3 extensions of 36 months each</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 years (varies by local ordinance)</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Vesting Tentative Map</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36 months from approval</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Same as tentative</w:t>
            </w:r>
          </w:p>
        </w:tc>
        <w:tc>
          <w:tcPr>
            <w:tcW w:type="dxa" w:w="1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Parcel Map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24 months from approval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Extensions per local ordinance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Varies</w:t>
            </w:r>
          </w:p>
        </w:tc>
      </w:tr>
    </w:tbl>
    <w:p>
      <w:pPr>
        <w:pStyle w:val="Heading3"/>
      </w:pPr>
      <w:r>
        <w:t xml:space="preserve">5.4 SB 9 Lot Splits vs. Subdivision Map Act</w:t>
      </w:r>
    </w:p>
    <w:p>
      <w:pPr>
        <w:spacing w:before="80" w:after="80"/>
      </w:pPr>
      <w:r>
        <w:rPr>
          <w:rFonts w:ascii="Arial" w:cs="Arial" w:eastAsia="Arial" w:hAnsi="Arial"/>
          <w:color w:val="1A1A1A"/>
          <w:sz w:val="22"/>
          <w:szCs w:val="22"/>
        </w:rPr>
        <w:t xml:space="preserve">SB 9 lot splits (§66452.6) operate outside the traditional Subdivision Map Act framework. They are ministerial, exempt from CEQA, and subject to a simplified set of requirements. However, they come with unique restrictions including the owner-occupancy requirement, prohibition on serial splitting, and deed restriction against short-term rentals. When evaluating a lot split, compare the SB 9 pathway against a traditional parcel map to determine which offers better project outcomes.</w:t>
      </w:r>
    </w:p>
    <w:p>
      <w:r>
        <w:br w:type="page"/>
      </w:r>
    </w:p>
    <w:p>
      <w:pPr>
        <w:pStyle w:val="Heading1"/>
      </w:pPr>
      <w:r>
        <w:t xml:space="preserve">Part IV: Technical Due Diligence</w:t>
      </w:r>
    </w:p>
    <w:p>
      <w:pPr>
        <w:spacing w:before="80" w:after="80"/>
      </w:pPr>
      <w:r>
        <w:rPr>
          <w:rFonts w:ascii="Arial" w:cs="Arial" w:eastAsia="Arial" w:hAnsi="Arial"/>
          <w:color w:val="1A1A1A"/>
          <w:sz w:val="22"/>
          <w:szCs w:val="22"/>
        </w:rPr>
        <w:t xml:space="preserve">This section covers the technical reports and assessments that inform every development decision. Reading these fluently — and knowing what to look for — separates experienced developers from novices.</w:t>
      </w:r>
    </w:p>
    <w:p>
      <w:pPr>
        <w:pStyle w:val="Heading2"/>
      </w:pPr>
      <w:r>
        <w:t xml:space="preserve">Chapter 6: Title &amp; Survey</w:t>
      </w:r>
    </w:p>
    <w:p>
      <w:pPr>
        <w:pStyle w:val="Heading3"/>
      </w:pPr>
      <w:r>
        <w:t xml:space="preserve">6.1 Preliminary Title Report Analysis</w:t>
      </w:r>
    </w:p>
    <w:p>
      <w:pPr>
        <w:spacing w:before="80" w:after="80"/>
      </w:pPr>
      <w:r>
        <w:rPr>
          <w:rFonts w:ascii="Arial" w:cs="Arial" w:eastAsia="Arial" w:hAnsi="Arial"/>
          <w:color w:val="1A1A1A"/>
          <w:sz w:val="22"/>
          <w:szCs w:val="22"/>
        </w:rPr>
        <w:t xml:space="preserve">The preliminary title report is your first look at what encumbers a property. Every item in Schedule B (exceptions from coverage) must be reviewed and categorized.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Exception Category</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Typical Items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Risk Level</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Action Required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CC&amp;Rs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Use restrictions, architectural controls, HOA requirements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Medium–High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Review for conflicts with proposed development</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Easements</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Utility, access, drainage, view, conservation</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High</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Plot on site plan; check for building envelope conflicts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Liens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Tax liens, mechanic’s liens, judgment liens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Critical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Must be cleared or subordinated before close</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Deed Restrictions</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Building height limits, use restrictions, setback requirements</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High</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May require quiet title action or modification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Mineral Rights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Subsurface rights reservations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Low–Medium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Evaluate impact on foundation and underground work</w:t>
            </w:r>
          </w:p>
        </w:tc>
      </w:tr>
    </w:tbl>
    <w:p>
      <w:pPr>
        <w:pStyle w:val="Heading3"/>
      </w:pPr>
      <w:r>
        <w:t xml:space="preserve">6.2 ALTA/NSPS Land Title Survey</w:t>
      </w:r>
    </w:p>
    <w:p>
      <w:pPr>
        <w:spacing w:before="80" w:after="80"/>
      </w:pPr>
      <w:r>
        <w:rPr>
          <w:rFonts w:ascii="Arial" w:cs="Arial" w:eastAsia="Arial" w:hAnsi="Arial"/>
          <w:color w:val="1A1A1A"/>
          <w:sz w:val="22"/>
          <w:szCs w:val="22"/>
        </w:rPr>
        <w:t xml:space="preserve">The ALTA survey is the gold standard for development sites. It combines a boundary survey, topographic information, and title exception mapping into a single document. Specifying the correct Table A optional items is critical.</w:t>
      </w:r>
    </w:p>
    <w:p>
      <w:pPr>
        <w:spacing w:before="80" w:after="80"/>
      </w:pPr>
      <w:r>
        <w:rPr>
          <w:rFonts w:ascii="Arial" w:cs="Arial" w:eastAsia="Arial" w:hAnsi="Arial"/>
          <w:color w:val="1A1A1A"/>
          <w:sz w:val="22"/>
          <w:szCs w:val="22"/>
        </w:rPr>
        <w:t xml:space="preserve">Essential Table A items for development projects include: Item 1 (monuments), Item 2 (address and parcel ID), Item 3 (flood zone), Item 4 (gross land area), Item 6 (setback/building lines), Item 8 (substantial features), Item 11 (utilities), Item 13 (names of adjoining owners), Item 16 (evidence of access), Item 17 (off-site easements), and Item 19 (topo contours).</w:t>
      </w:r>
    </w:p>
    <w:p>
      <w:pPr>
        <w:pStyle w:val="Heading2"/>
      </w:pPr>
      <w:r>
        <w:t xml:space="preserve">Chapter 7: Geotechnical Engineering</w:t>
      </w:r>
    </w:p>
    <w:p>
      <w:pPr>
        <w:pStyle w:val="Heading3"/>
      </w:pPr>
      <w:r>
        <w:t xml:space="preserve">7.1 Reading a Geotechnical Report</w:t>
      </w:r>
    </w:p>
    <w:p>
      <w:pPr>
        <w:spacing w:before="80" w:after="80"/>
      </w:pPr>
      <w:r>
        <w:rPr>
          <w:rFonts w:ascii="Arial" w:cs="Arial" w:eastAsia="Arial" w:hAnsi="Arial"/>
          <w:color w:val="1A1A1A"/>
          <w:sz w:val="22"/>
          <w:szCs w:val="22"/>
        </w:rPr>
        <w:t xml:space="preserve">A geotechnical report translates subsurface conditions into engineering recommendations that directly impact your foundation design, construction method, and project cost. The key sections to focus on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What to Look For</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Red Flags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Soil Profile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USCS classification, depth to bedrock, consistency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Expansive clays (CH), organic soils (OH/OL), fill soils</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Groundwater</w:t>
            </w:r>
          </w:p>
        </w:tc>
        <w:tc>
          <w:tcPr>
            <w:tcW w:type="dxa" w:w="3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Seasonal high water table depth</w:t>
            </w:r>
          </w:p>
        </w:tc>
        <w:tc>
          <w:tcPr>
            <w:tcW w:type="dxa" w:w="3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Water table within 10 ft of foundation; perched water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Bearing Capacity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Allowable bearing pressure (psf)</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&lt; 1,500 psf; significant variation across site</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Liquefaction</w:t>
            </w:r>
          </w:p>
        </w:tc>
        <w:tc>
          <w:tcPr>
            <w:tcW w:type="dxa" w:w="3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Factor of safety, settlement estimates</w:t>
            </w:r>
          </w:p>
        </w:tc>
        <w:tc>
          <w:tcPr>
            <w:tcW w:type="dxa" w:w="3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FOS &lt; 1.2; settlement &gt; 1 inch; lateral spreading potential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Seismic Design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Site class, spectral acceleration values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Site Class E or F; near-fault effects</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Foundation Recommendations</w:t>
            </w:r>
          </w:p>
        </w:tc>
        <w:tc>
          <w:tcPr>
            <w:tcW w:type="dxa" w:w="3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Type, depth, reinforcement, drainage</w:t>
            </w:r>
          </w:p>
        </w:tc>
        <w:tc>
          <w:tcPr>
            <w:tcW w:type="dxa" w:w="3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Deep foundations required (piles/piers); extensive soil improvement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Slope Stability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Factor of safety for cut/fill slopes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FOS &lt; 1.5 for static; &lt; 1.0 for seismic</w:t>
            </w:r>
          </w:p>
        </w:tc>
      </w:tr>
    </w:tbl>
    <w:p>
      <w:pPr>
        <w:pStyle w:val="Heading3"/>
      </w:pPr>
      <w:r>
        <w:t xml:space="preserve">7.2 Bay Area Geotechnical Considerations</w:t>
      </w:r>
    </w:p>
    <w:p>
      <w:pPr>
        <w:spacing w:before="80" w:after="80"/>
      </w:pPr>
      <w:r>
        <w:rPr>
          <w:rFonts w:ascii="Arial" w:cs="Arial" w:eastAsia="Arial" w:hAnsi="Arial"/>
          <w:color w:val="1A1A1A"/>
          <w:sz w:val="22"/>
          <w:szCs w:val="22"/>
        </w:rPr>
        <w:t xml:space="preserve">The San Francisco Bay Area presents specific geotechnical challenges that developers must anticipate. Alluvial soils in the Santa Clara Valley are susceptible to liquefaction, particularly in areas with high water tables near creeks and former marshlands. Menlo Park and portions of San Jose have mapped liquefaction hazard zones under the Seismic Hazards Mapping Act.</w:t>
      </w:r>
    </w:p>
    <w:p>
      <w:pPr>
        <w:spacing w:before="80" w:after="80"/>
      </w:pPr>
      <w:r>
        <w:rPr>
          <w:rFonts w:ascii="Arial" w:cs="Arial" w:eastAsia="Arial" w:hAnsi="Arial"/>
          <w:color w:val="1A1A1A"/>
          <w:sz w:val="22"/>
          <w:szCs w:val="22"/>
        </w:rPr>
        <w:t xml:space="preserve">For projects like the ICF basement at 595 Morey Drive, the geotechnical report drives critical design decisions: waterproofing requirements, dewatering during construction, lateral earth pressure design for basement walls, and potential for hydrostatic uplift on the mat foundation.</w:t>
      </w:r>
    </w:p>
    <w:p>
      <w:pPr>
        <w:pStyle w:val="Heading2"/>
      </w:pPr>
      <w:r>
        <w:t xml:space="preserve">Chapter 8: Civil Engineering &amp; Stormwater</w:t>
      </w:r>
    </w:p>
    <w:p>
      <w:pPr>
        <w:pStyle w:val="Heading3"/>
      </w:pPr>
      <w:r>
        <w:t xml:space="preserve">8.1 Grading and Drainage</w:t>
      </w:r>
    </w:p>
    <w:p>
      <w:pPr>
        <w:spacing w:before="80" w:after="80"/>
      </w:pPr>
      <w:r>
        <w:rPr>
          <w:rFonts w:ascii="Arial" w:cs="Arial" w:eastAsia="Arial" w:hAnsi="Arial"/>
          <w:color w:val="1A1A1A"/>
          <w:sz w:val="22"/>
          <w:szCs w:val="22"/>
        </w:rPr>
        <w:t xml:space="preserve">Grading plans show existing and proposed contours, cut/fill quantities, drainage patterns, retaining walls, and erosion control measures. Key review items include earthwork balance (import/export costs), drainage adequacy, and retaining wall requirements at property lines.</w:t>
      </w:r>
    </w:p>
    <w:p>
      <w:pPr>
        <w:pStyle w:val="Heading3"/>
      </w:pPr>
      <w:r>
        <w:t xml:space="preserve">8.2 C.3 Stormwater Requirements</w:t>
      </w:r>
    </w:p>
    <w:p>
      <w:pPr>
        <w:spacing w:before="80" w:after="80"/>
      </w:pPr>
      <w:r>
        <w:rPr>
          <w:rFonts w:ascii="Arial" w:cs="Arial" w:eastAsia="Arial" w:hAnsi="Arial"/>
          <w:color w:val="1A1A1A"/>
          <w:sz w:val="22"/>
          <w:szCs w:val="22"/>
        </w:rPr>
        <w:t xml:space="preserve">In the San Francisco Bay Area, Provision C.3 of the Municipal Regional Permit (MRP) requires new development and redevelopment projects that create or replace 10,000+ SF of impervious surface to implement stormwater treatment measures. This typically means bioretention areas, pervious paving, or other low-impact development (LID) features.</w:t>
      </w:r>
    </w:p>
    <w:p>
      <w:pPr>
        <w:spacing w:before="80" w:after="80"/>
      </w:pPr>
      <w:r>
        <w:rPr>
          <w:rFonts w:ascii="Arial" w:cs="Arial" w:eastAsia="Arial" w:hAnsi="Arial"/>
          <w:color w:val="1A1A1A"/>
          <w:sz w:val="22"/>
          <w:szCs w:val="22"/>
        </w:rPr>
        <w:t xml:space="preserve">C.3 compliance has significant site planning implications: bioretention areas consume buildable area, require setbacks from foundations, and add maintenance obligations. Budget 5–10% of site area for stormwater treatment on typical projects.</w:t>
      </w:r>
    </w:p>
    <w:p>
      <w:pPr>
        <w:pStyle w:val="Heading3"/>
      </w:pPr>
      <w:r>
        <w:t xml:space="preserve">8.3 SWPPP and NPDES Requirements</w:t>
      </w:r>
    </w:p>
    <w:p>
      <w:pPr>
        <w:spacing w:before="80" w:after="80"/>
      </w:pPr>
      <w:r>
        <w:rPr>
          <w:rFonts w:ascii="Arial" w:cs="Arial" w:eastAsia="Arial" w:hAnsi="Arial"/>
          <w:color w:val="1A1A1A"/>
          <w:sz w:val="22"/>
          <w:szCs w:val="22"/>
        </w:rPr>
        <w:t xml:space="preserve">Projects disturbing one or more acres of soil require a Stormwater Pollution Prevention Plan (SWPPP) under the NPDES General Construction Permit. The SWPPP documents erosion and sediment control BMPs, hazardous materials management, and monitoring requirements throughout construction. Filing is done through the State Water Board’s SMARTS system, and a Legally Responsible Person must be designated.</w:t>
      </w:r>
    </w:p>
    <w:p>
      <w:pPr>
        <w:pStyle w:val="Heading2"/>
      </w:pPr>
      <w:r>
        <w:t xml:space="preserve">Chapter 9: Environmental Site Assessment</w:t>
      </w:r>
    </w:p>
    <w:p>
      <w:pPr>
        <w:pStyle w:val="Heading3"/>
      </w:pPr>
      <w:r>
        <w:t xml:space="preserve">9.1 Phase I ESA (ASTM E1527-21)</w:t>
      </w:r>
    </w:p>
    <w:p>
      <w:pPr>
        <w:spacing w:before="80" w:after="80"/>
      </w:pPr>
      <w:r>
        <w:rPr>
          <w:rFonts w:ascii="Arial" w:cs="Arial" w:eastAsia="Arial" w:hAnsi="Arial"/>
          <w:color w:val="1A1A1A"/>
          <w:sz w:val="22"/>
          <w:szCs w:val="22"/>
        </w:rPr>
        <w:t xml:space="preserve">A Phase I ESA evaluates the potential for contamination on a property through records review, site reconnaissance, interviews, and evaluation of adjoining properties. The key finding categories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200"/>
        <w:gridCol w:w="3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Acronym</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Meaning</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Action Required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Recognized Environmental Condition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Likely release or material threat of release of hazardous substances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Phase II investigation recommended</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Controlled REC</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CREC</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Past release with institutional/engineering controls in place</w:t>
            </w:r>
          </w:p>
        </w:tc>
        <w:tc>
          <w:tcPr>
            <w:tcW w:type="dxa" w:w="3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Evaluate controls; may affect development design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Historical REC</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HREC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Past release that has been addressed to regulatory standards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Generally no action; document in due diligence</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De Minimis Condition</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N/A</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Environmental condition unlikely to warrant further investigation</w:t>
            </w:r>
          </w:p>
        </w:tc>
        <w:tc>
          <w:tcPr>
            <w:tcW w:type="dxa" w:w="3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Note in file; no action needed</w:t>
            </w:r>
          </w:p>
        </w:tc>
      </w:tr>
    </w:tbl>
    <w:p>
      <w:r>
        <w:br w:type="page"/>
      </w:r>
    </w:p>
    <w:p>
      <w:pPr>
        <w:pStyle w:val="Heading1"/>
      </w:pPr>
      <w:r>
        <w:t xml:space="preserve">Part V: Technical Tools &amp; Software</w:t>
      </w:r>
    </w:p>
    <w:p>
      <w:pPr>
        <w:pStyle w:val="Heading2"/>
      </w:pPr>
      <w:r>
        <w:t xml:space="preserve">Chapter 10: Revit BIM for Developers</w:t>
      </w:r>
    </w:p>
    <w:p>
      <w:pPr>
        <w:spacing w:before="80" w:after="80"/>
      </w:pPr>
      <w:r>
        <w:rPr>
          <w:rFonts w:ascii="Arial" w:cs="Arial" w:eastAsia="Arial" w:hAnsi="Arial"/>
          <w:color w:val="1A1A1A"/>
          <w:sz w:val="22"/>
          <w:szCs w:val="22"/>
        </w:rPr>
        <w:t xml:space="preserve">Revit proficiency enables developers to understand, review, and participate in the BIM process that increasingly drives design and construction. The focus for a developer/CM is not drafting — it’s model navigation, information extraction, and coordination oversight.</w:t>
      </w:r>
    </w:p>
    <w:p>
      <w:pPr>
        <w:pStyle w:val="Heading3"/>
      </w:pPr>
      <w:r>
        <w:t xml:space="preserve">10.1 Learning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3000"/>
        <w:gridCol w:w="39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Hours</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Focus Area</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Deliverable Skills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Fundamentals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15–20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Interface, views, navigation, families, parameters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Open and navigate any Revit model; extract information</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Architectural Modeling</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20–25</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Walls, floors, roofs, stairs, rooms, schedules</w:t>
            </w:r>
          </w:p>
        </w:tc>
        <w:tc>
          <w:tcPr>
            <w:tcW w:type="dxa" w:w="3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Create basic residential models; understand design intent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Structural Modeling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15–20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Framing, foundations, connections, structural analysis links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Model CFS and ICF systems; review structural coordination</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MEP Awareness</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8–10</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HVAC, plumbing, electrical system navigation</w:t>
            </w:r>
          </w:p>
        </w:tc>
        <w:tc>
          <w:tcPr>
            <w:tcW w:type="dxa" w:w="3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Identify clashes; understand routing constraints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Collaboration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10–15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Worksharing, linking, clash detection (Navisworks)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Run coordination reviews; manage multi-discipline models</w:t>
            </w:r>
          </w:p>
        </w:tc>
      </w:tr>
    </w:tbl>
    <w:p>
      <w:pPr>
        <w:pStyle w:val="Heading3"/>
      </w:pPr>
      <w:r>
        <w:t xml:space="preserve">10.2 Revit for CFS and ICF Construction</w:t>
      </w:r>
    </w:p>
    <w:p>
      <w:pPr>
        <w:spacing w:before="80" w:after="80"/>
      </w:pPr>
      <w:r>
        <w:rPr>
          <w:rFonts w:ascii="Arial" w:cs="Arial" w:eastAsia="Arial" w:hAnsi="Arial"/>
          <w:color w:val="1A1A1A"/>
          <w:sz w:val="22"/>
          <w:szCs w:val="22"/>
        </w:rPr>
        <w:t xml:space="preserve">Cold-formed steel and insulated concrete form construction have specific Revit workflows. For CFS, key considerations include accurate wall type definitions with stud gauge, spacing, and track configurations. For ICF, model the concrete cores and form dimensions separately to accurately represent the as-built condition.</w:t>
      </w:r>
    </w:p>
    <w:p>
      <w:pPr>
        <w:spacing w:before="80" w:after="80"/>
      </w:pPr>
      <w:r>
        <w:rPr>
          <w:rFonts w:ascii="Arial" w:cs="Arial" w:eastAsia="Arial" w:hAnsi="Arial"/>
          <w:color w:val="1A1A1A"/>
          <w:sz w:val="22"/>
          <w:szCs w:val="22"/>
        </w:rPr>
        <w:t xml:space="preserve">Several manufacturers provide Revit families for their CFS and ICF systems. Download these to avoid creating custom families from scratch. Verify that downloaded families include accurate structural properties for analysis.</w:t>
      </w:r>
    </w:p>
    <w:p>
      <w:pPr>
        <w:pStyle w:val="Heading2"/>
      </w:pPr>
      <w:r>
        <w:t xml:space="preserve">Chapter 11: AutoCAD &amp; Civil 3D</w:t>
      </w:r>
    </w:p>
    <w:p>
      <w:pPr>
        <w:spacing w:before="80" w:after="80"/>
      </w:pPr>
      <w:r>
        <w:rPr>
          <w:rFonts w:ascii="Arial" w:cs="Arial" w:eastAsia="Arial" w:hAnsi="Arial"/>
          <w:color w:val="1A1A1A"/>
          <w:sz w:val="22"/>
          <w:szCs w:val="22"/>
        </w:rPr>
        <w:t xml:space="preserve">As a developer/CM, your AutoCAD skill set focuses on reading, measuring, and extracting information from consultant-produced drawings — not creating them. Invest in navigation efficiency rather than drafting proficiency.</w:t>
      </w:r>
    </w:p>
    <w:p>
      <w:pPr>
        <w:pStyle w:val="Heading3"/>
      </w:pPr>
      <w:r>
        <w:t xml:space="preserve">11.1 Essential Commands for Plan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Shortcut</w:t>
            </w:r>
          </w:p>
        </w:tc>
        <w:tc>
          <w:tcPr>
            <w:tcW w:type="dxa" w:w="5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DIST (Distance)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DI</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Measure between points — verify setbacks, clearances</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AREA</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AA</w:t>
            </w:r>
          </w:p>
        </w:tc>
        <w:tc>
          <w:tcPr>
            <w:tcW w:type="dxa" w:w="5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Calculate square footage of irregular shapes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LAYER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Control visibility of information layers</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XREF</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XR</w:t>
            </w:r>
          </w:p>
        </w:tc>
        <w:tc>
          <w:tcPr>
            <w:tcW w:type="dxa" w:w="5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Manage external reference files (common in plan sets)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MEASUREGEOM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MEA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Comprehensive measurement tool — distance, area, angle</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PROPERTIES</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PR</w:t>
            </w:r>
          </w:p>
        </w:tc>
        <w:tc>
          <w:tcPr>
            <w:tcW w:type="dxa" w:w="5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View all properties of selected object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QSELECT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Select objects by property (all text on a layer, etc.)</w:t>
            </w:r>
          </w:p>
        </w:tc>
      </w:tr>
    </w:tbl>
    <w:p>
      <w:pPr>
        <w:pStyle w:val="Heading2"/>
      </w:pPr>
      <w:r>
        <w:t xml:space="preserve">Chapter 12: GIS &amp; Site Analysis Tools</w:t>
      </w:r>
    </w:p>
    <w:p>
      <w:pPr>
        <w:spacing w:before="80" w:after="80"/>
      </w:pPr>
      <w:r>
        <w:rPr>
          <w:rFonts w:ascii="Arial" w:cs="Arial" w:eastAsia="Arial" w:hAnsi="Arial"/>
          <w:color w:val="1A1A1A"/>
          <w:sz w:val="22"/>
          <w:szCs w:val="22"/>
        </w:rPr>
        <w:t xml:space="preserve">Geographic Information Systems allow you to perform comprehensive site analysis before you ever visit a property. A systematic GIS review can identify deal-killing constraints in minutes.</w:t>
      </w:r>
    </w:p>
    <w:p>
      <w:pPr>
        <w:pStyle w:val="Heading3"/>
      </w:pPr>
      <w:r>
        <w:t xml:space="preserve">12.1 Site Analysis Protocol</w:t>
      </w:r>
    </w:p>
    <w:p>
      <w:pPr>
        <w:spacing w:before="80" w:after="80"/>
      </w:pPr>
      <w:r>
        <w:rPr>
          <w:rFonts w:ascii="Arial" w:cs="Arial" w:eastAsia="Arial" w:hAnsi="Arial"/>
          <w:color w:val="1A1A1A"/>
          <w:sz w:val="22"/>
          <w:szCs w:val="22"/>
        </w:rPr>
        <w:t xml:space="preserve">Follow this checklist in order for every potential development site. Each item can be checked using freely available online tools.</w:t>
      </w:r>
    </w:p>
    <w:p>
      <w:pPr>
        <w:pStyle w:val="ListParagraph"/>
        <w:numPr>
          <w:ilvl w:val="0"/>
          <w:numId w:val="10"/>
        </w:numPr>
      </w:pPr>
      <w:r>
        <w:rPr>
          <w:rFonts w:ascii="Arial" w:cs="Arial" w:eastAsia="Arial" w:hAnsi="Arial"/>
          <w:color w:val="1A1A1A"/>
          <w:sz w:val="22"/>
          <w:szCs w:val="22"/>
        </w:rPr>
        <w:t xml:space="preserve">Parcel boundaries, size, and dimensions (County Assessor GIS)</w:t>
      </w:r>
    </w:p>
    <w:p>
      <w:pPr>
        <w:pStyle w:val="ListParagraph"/>
        <w:numPr>
          <w:ilvl w:val="0"/>
          <w:numId w:val="10"/>
        </w:numPr>
      </w:pPr>
      <w:r>
        <w:rPr>
          <w:rFonts w:ascii="Arial" w:cs="Arial" w:eastAsia="Arial" w:hAnsi="Arial"/>
          <w:color w:val="1A1A1A"/>
          <w:sz w:val="22"/>
          <w:szCs w:val="22"/>
        </w:rPr>
        <w:t xml:space="preserve">General Plan land use designation and zoning (City/County GIS)</w:t>
      </w:r>
    </w:p>
    <w:p>
      <w:pPr>
        <w:pStyle w:val="ListParagraph"/>
        <w:numPr>
          <w:ilvl w:val="0"/>
          <w:numId w:val="10"/>
        </w:numPr>
      </w:pPr>
      <w:r>
        <w:rPr>
          <w:rFonts w:ascii="Arial" w:cs="Arial" w:eastAsia="Arial" w:hAnsi="Arial"/>
          <w:color w:val="1A1A1A"/>
          <w:sz w:val="22"/>
          <w:szCs w:val="22"/>
        </w:rPr>
        <w:t xml:space="preserve">FEMA flood zone (FEMA Flood Map Service Center)</w:t>
      </w:r>
    </w:p>
    <w:p>
      <w:pPr>
        <w:pStyle w:val="ListParagraph"/>
        <w:numPr>
          <w:ilvl w:val="0"/>
          <w:numId w:val="10"/>
        </w:numPr>
      </w:pPr>
      <w:r>
        <w:rPr>
          <w:rFonts w:ascii="Arial" w:cs="Arial" w:eastAsia="Arial" w:hAnsi="Arial"/>
          <w:color w:val="1A1A1A"/>
          <w:sz w:val="22"/>
          <w:szCs w:val="22"/>
        </w:rPr>
        <w:t xml:space="preserve">Alquist-Priolo earthquake fault zone (CGS EQ Hazard Zone Maps)</w:t>
      </w:r>
    </w:p>
    <w:p>
      <w:pPr>
        <w:pStyle w:val="ListParagraph"/>
        <w:numPr>
          <w:ilvl w:val="0"/>
          <w:numId w:val="10"/>
        </w:numPr>
      </w:pPr>
      <w:r>
        <w:rPr>
          <w:rFonts w:ascii="Arial" w:cs="Arial" w:eastAsia="Arial" w:hAnsi="Arial"/>
          <w:color w:val="1A1A1A"/>
          <w:sz w:val="22"/>
          <w:szCs w:val="22"/>
        </w:rPr>
        <w:t xml:space="preserve">Seismic hazard zones — liquefaction and landslide (CGS)</w:t>
      </w:r>
    </w:p>
    <w:p>
      <w:pPr>
        <w:pStyle w:val="ListParagraph"/>
        <w:numPr>
          <w:ilvl w:val="0"/>
          <w:numId w:val="10"/>
        </w:numPr>
      </w:pPr>
      <w:r>
        <w:rPr>
          <w:rFonts w:ascii="Arial" w:cs="Arial" w:eastAsia="Arial" w:hAnsi="Arial"/>
          <w:color w:val="1A1A1A"/>
          <w:sz w:val="22"/>
          <w:szCs w:val="22"/>
        </w:rPr>
        <w:t xml:space="preserve">Fire hazard severity zone (CAL FIRE FHSZ Map)</w:t>
      </w:r>
    </w:p>
    <w:p>
      <w:pPr>
        <w:pStyle w:val="ListParagraph"/>
        <w:numPr>
          <w:ilvl w:val="0"/>
          <w:numId w:val="10"/>
        </w:numPr>
      </w:pPr>
      <w:r>
        <w:rPr>
          <w:rFonts w:ascii="Arial" w:cs="Arial" w:eastAsia="Arial" w:hAnsi="Arial"/>
          <w:color w:val="1A1A1A"/>
          <w:sz w:val="22"/>
          <w:szCs w:val="22"/>
        </w:rPr>
        <w:t xml:space="preserve">Environmental contamination (DTSC EnviroStor, SWRCB GeoTracker)</w:t>
      </w:r>
    </w:p>
    <w:p>
      <w:pPr>
        <w:pStyle w:val="ListParagraph"/>
        <w:numPr>
          <w:ilvl w:val="0"/>
          <w:numId w:val="10"/>
        </w:numPr>
      </w:pPr>
      <w:r>
        <w:rPr>
          <w:rFonts w:ascii="Arial" w:cs="Arial" w:eastAsia="Arial" w:hAnsi="Arial"/>
          <w:color w:val="1A1A1A"/>
          <w:sz w:val="22"/>
          <w:szCs w:val="22"/>
        </w:rPr>
        <w:t xml:space="preserve">Wetlands and waters (USFWS National Wetlands Inventory)</w:t>
      </w:r>
    </w:p>
    <w:p>
      <w:pPr>
        <w:pStyle w:val="ListParagraph"/>
        <w:numPr>
          <w:ilvl w:val="0"/>
          <w:numId w:val="10"/>
        </w:numPr>
      </w:pPr>
      <w:r>
        <w:rPr>
          <w:rFonts w:ascii="Arial" w:cs="Arial" w:eastAsia="Arial" w:hAnsi="Arial"/>
          <w:color w:val="1A1A1A"/>
          <w:sz w:val="22"/>
          <w:szCs w:val="22"/>
        </w:rPr>
        <w:t xml:space="preserve">Environmental justice screening (OEHHA CalEnviroScreen 4.0)</w:t>
      </w:r>
    </w:p>
    <w:p>
      <w:pPr>
        <w:pStyle w:val="ListParagraph"/>
        <w:numPr>
          <w:ilvl w:val="0"/>
          <w:numId w:val="10"/>
        </w:numPr>
      </w:pPr>
      <w:r>
        <w:rPr>
          <w:rFonts w:ascii="Arial" w:cs="Arial" w:eastAsia="Arial" w:hAnsi="Arial"/>
          <w:color w:val="1A1A1A"/>
          <w:sz w:val="22"/>
          <w:szCs w:val="22"/>
        </w:rPr>
        <w:t xml:space="preserve">Historic resources (local historic inventory, NRHP, CRHR)</w:t>
      </w:r>
    </w:p>
    <w:p>
      <w:r>
        <w:br w:type="page"/>
      </w:r>
    </w:p>
    <w:p>
      <w:pPr>
        <w:pStyle w:val="Heading1"/>
      </w:pPr>
      <w:r>
        <w:t xml:space="preserve">Part VI: Entitlements &amp; Financial Analysis</w:t>
      </w:r>
    </w:p>
    <w:p>
      <w:pPr>
        <w:pStyle w:val="Heading2"/>
      </w:pPr>
      <w:r>
        <w:t xml:space="preserve">Chapter 13: The Entitlement Process</w:t>
      </w:r>
    </w:p>
    <w:p>
      <w:pPr>
        <w:spacing w:before="80" w:after="80"/>
      </w:pPr>
      <w:r>
        <w:rPr>
          <w:rFonts w:ascii="Arial" w:cs="Arial" w:eastAsia="Arial" w:hAnsi="Arial"/>
          <w:color w:val="1A1A1A"/>
          <w:sz w:val="22"/>
          <w:szCs w:val="22"/>
        </w:rPr>
        <w:t xml:space="preserve">Entitlement is the process of obtaining all governmental approvals necessary to develop a property. It is typically the highest-risk phase of development because significant capital is deployed before any revenue certainty exists.</w:t>
      </w:r>
    </w:p>
    <w:p>
      <w:pPr>
        <w:pStyle w:val="Heading3"/>
      </w:pPr>
      <w:r>
        <w:t xml:space="preserve">13.1 Entitlement Workflow</w:t>
      </w:r>
    </w:p>
    <w:p>
      <w:pPr>
        <w:pStyle w:val="ListParagraph"/>
        <w:numPr>
          <w:ilvl w:val="0"/>
          <w:numId w:val="11"/>
        </w:numPr>
      </w:pPr>
      <w:r>
        <w:rPr>
          <w:rFonts w:ascii="Arial" w:cs="Arial" w:eastAsia="Arial" w:hAnsi="Arial"/>
          <w:color w:val="1A1A1A"/>
          <w:sz w:val="22"/>
          <w:szCs w:val="22"/>
        </w:rPr>
        <w:t xml:space="preserve">Pre-Application Conference: Informal meeting with planning staff to discuss project concept, identify issues, and determine application requirements. Always request a written summary of staff’s initial feedback.</w:t>
      </w:r>
    </w:p>
    <w:p>
      <w:pPr>
        <w:pStyle w:val="ListParagraph"/>
        <w:numPr>
          <w:ilvl w:val="0"/>
          <w:numId w:val="11"/>
        </w:numPr>
      </w:pPr>
      <w:r>
        <w:rPr>
          <w:rFonts w:ascii="Arial" w:cs="Arial" w:eastAsia="Arial" w:hAnsi="Arial"/>
          <w:color w:val="1A1A1A"/>
          <w:sz w:val="22"/>
          <w:szCs w:val="22"/>
        </w:rPr>
        <w:t xml:space="preserve">SB 330 Preliminary Application: File immediately to lock in development standards, fees, and regulations.</w:t>
      </w:r>
    </w:p>
    <w:p>
      <w:pPr>
        <w:pStyle w:val="ListParagraph"/>
        <w:numPr>
          <w:ilvl w:val="0"/>
          <w:numId w:val="11"/>
        </w:numPr>
      </w:pPr>
      <w:r>
        <w:rPr>
          <w:rFonts w:ascii="Arial" w:cs="Arial" w:eastAsia="Arial" w:hAnsi="Arial"/>
          <w:color w:val="1A1A1A"/>
          <w:sz w:val="22"/>
          <w:szCs w:val="22"/>
        </w:rPr>
        <w:t xml:space="preserve">Application Submittal: Complete application with all required studies, plans, and reports. Incomplete applications trigger the Permit Streamlining Act clock.</w:t>
      </w:r>
    </w:p>
    <w:p>
      <w:pPr>
        <w:pStyle w:val="ListParagraph"/>
        <w:numPr>
          <w:ilvl w:val="0"/>
          <w:numId w:val="11"/>
        </w:numPr>
      </w:pPr>
      <w:r>
        <w:rPr>
          <w:rFonts w:ascii="Arial" w:cs="Arial" w:eastAsia="Arial" w:hAnsi="Arial"/>
          <w:color w:val="1A1A1A"/>
          <w:sz w:val="22"/>
          <w:szCs w:val="22"/>
        </w:rPr>
        <w:t xml:space="preserve">Completeness Review: Jurisdiction has 30 days to determine completeness (Gov. Code §65943). If incomplete, must specify every deficiency in writing.</w:t>
      </w:r>
    </w:p>
    <w:p>
      <w:pPr>
        <w:pStyle w:val="ListParagraph"/>
        <w:numPr>
          <w:ilvl w:val="0"/>
          <w:numId w:val="11"/>
        </w:numPr>
      </w:pPr>
      <w:r>
        <w:rPr>
          <w:rFonts w:ascii="Arial" w:cs="Arial" w:eastAsia="Arial" w:hAnsi="Arial"/>
          <w:color w:val="1A1A1A"/>
          <w:sz w:val="22"/>
          <w:szCs w:val="22"/>
        </w:rPr>
        <w:t xml:space="preserve">Environmental Review: CEQA determination — exemption, ND, MND, or EIR.</w:t>
      </w:r>
    </w:p>
    <w:p>
      <w:pPr>
        <w:pStyle w:val="ListParagraph"/>
        <w:numPr>
          <w:ilvl w:val="0"/>
          <w:numId w:val="11"/>
        </w:numPr>
      </w:pPr>
      <w:r>
        <w:rPr>
          <w:rFonts w:ascii="Arial" w:cs="Arial" w:eastAsia="Arial" w:hAnsi="Arial"/>
          <w:color w:val="1A1A1A"/>
          <w:sz w:val="22"/>
          <w:szCs w:val="22"/>
        </w:rPr>
        <w:t xml:space="preserve">Staff Report and Recommendation: Planning staff prepares analysis and recommendation to decision-making body.</w:t>
      </w:r>
    </w:p>
    <w:p>
      <w:pPr>
        <w:pStyle w:val="ListParagraph"/>
        <w:numPr>
          <w:ilvl w:val="0"/>
          <w:numId w:val="11"/>
        </w:numPr>
      </w:pPr>
      <w:r>
        <w:rPr>
          <w:rFonts w:ascii="Arial" w:cs="Arial" w:eastAsia="Arial" w:hAnsi="Arial"/>
          <w:color w:val="1A1A1A"/>
          <w:sz w:val="22"/>
          <w:szCs w:val="22"/>
        </w:rPr>
        <w:t xml:space="preserve">Public Hearing(s): Planning Commission and/or City Council hearing. Maximum 5 hearings under SB 330.</w:t>
      </w:r>
    </w:p>
    <w:p>
      <w:pPr>
        <w:pStyle w:val="ListParagraph"/>
        <w:numPr>
          <w:ilvl w:val="0"/>
          <w:numId w:val="11"/>
        </w:numPr>
      </w:pPr>
      <w:r>
        <w:rPr>
          <w:rFonts w:ascii="Arial" w:cs="Arial" w:eastAsia="Arial" w:hAnsi="Arial"/>
          <w:color w:val="1A1A1A"/>
          <w:sz w:val="22"/>
          <w:szCs w:val="22"/>
        </w:rPr>
        <w:t xml:space="preserve">Conditions of Approval: Negotiate conditions — many are negotiable at the hearing or before.</w:t>
      </w:r>
    </w:p>
    <w:p>
      <w:pPr>
        <w:pStyle w:val="ListParagraph"/>
        <w:numPr>
          <w:ilvl w:val="0"/>
          <w:numId w:val="11"/>
        </w:numPr>
      </w:pPr>
      <w:r>
        <w:rPr>
          <w:rFonts w:ascii="Arial" w:cs="Arial" w:eastAsia="Arial" w:hAnsi="Arial"/>
          <w:color w:val="1A1A1A"/>
          <w:sz w:val="22"/>
          <w:szCs w:val="22"/>
        </w:rPr>
        <w:t xml:space="preserve">Building Permit: After entitlement, submit construction documents for plan check and building permit.</w:t>
      </w:r>
    </w:p>
    <w:p>
      <w:pPr>
        <w:pStyle w:val="Heading3"/>
      </w:pPr>
      <w:r>
        <w:t xml:space="preserve">13.2 Impact Fees and Exactions</w:t>
      </w:r>
    </w:p>
    <w:p>
      <w:pPr>
        <w:spacing w:before="80" w:after="80"/>
      </w:pPr>
      <w:r>
        <w:rPr>
          <w:rFonts w:ascii="Arial" w:cs="Arial" w:eastAsia="Arial" w:hAnsi="Arial"/>
          <w:color w:val="1A1A1A"/>
          <w:sz w:val="22"/>
          <w:szCs w:val="22"/>
        </w:rPr>
        <w:t xml:space="preserve">Impact fees can represent $30,000–$100,000+ per unit in Bay Area jurisdictions. Understanding the fee structure is essential for accurate pro forma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Fee Category</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Typical Range (Bay Area)</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Legal Basis</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Negotiability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School Fees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$4–$5 per SF (Level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Gov. Code §65995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None — statutory cap</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Park / Quimby</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$5K–$30K per unit</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Gov. Code §66477</w:t>
            </w:r>
          </w:p>
        </w:tc>
        <w:tc>
          <w:tcPr>
            <w:tcW w:type="dxa" w:w="2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Land dedication may substitute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Traffic Impact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$5K–$25K per unit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Local ordinance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Moderate — trip reduction measures</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Affordable Housing In-Lieu</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$20–$75 per SF</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Local inclusionary ordinance</w:t>
            </w:r>
          </w:p>
        </w:tc>
        <w:tc>
          <w:tcPr>
            <w:tcW w:type="dxa" w:w="2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Build affordable units instead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Sewer/Water Connection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$5K–$20K per unit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Utility district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Low</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Public Art</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 of construction cost</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Local ordinance</w:t>
            </w:r>
          </w:p>
        </w:tc>
        <w:tc>
          <w:tcPr>
            <w:tcW w:type="dxa" w:w="2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On-site art may substitute</w:t>
            </w:r>
          </w:p>
        </w:tc>
      </w:tr>
    </w:tbl>
    <w:p>
      <w:pPr>
        <w:pStyle w:val="Heading3"/>
      </w:pPr>
      <w:r>
        <w:t xml:space="preserve">13.3 Development Agreements</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Government Code §65864–65869.5</w:t>
      </w:r>
    </w:p>
    <w:p>
      <w:pPr>
        <w:spacing w:before="80" w:after="80"/>
      </w:pPr>
      <w:r>
        <w:rPr>
          <w:rFonts w:ascii="Arial" w:cs="Arial" w:eastAsia="Arial" w:hAnsi="Arial"/>
          <w:color w:val="1A1A1A"/>
          <w:sz w:val="22"/>
          <w:szCs w:val="22"/>
        </w:rPr>
        <w:t xml:space="preserve">A development agreement is a contract between a developer and a local government that locks in the developer’s right to develop under current regulations for a specified term (typically 10–25 years). In exchange, the developer typically provides enhanced public benefits beyond what could be required through conditions of approval.</w:t>
      </w:r>
    </w:p>
    <w:p>
      <w:pPr>
        <w:spacing w:before="80" w:after="80"/>
      </w:pPr>
      <w:r>
        <w:rPr>
          <w:rFonts w:ascii="Arial" w:cs="Arial" w:eastAsia="Arial" w:hAnsi="Arial"/>
          <w:color w:val="1A1A1A"/>
          <w:sz w:val="22"/>
          <w:szCs w:val="22"/>
        </w:rPr>
        <w:t xml:space="preserve">Development agreements are most valuable for large, phased projects where regulatory certainty over many years is essential to project financing. They require a public hearing, are discretionary, and are subject to CEQA. The agreement itself is recorded against the property and runs with the land.</w:t>
      </w:r>
    </w:p>
    <w:p>
      <w:pPr>
        <w:pStyle w:val="Heading3"/>
      </w:pPr>
      <w:r>
        <w:t xml:space="preserve">13.4 Permit Streamlining Act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Deadline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Code Section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Consequence of Non-Compliance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Completeness Determination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30 days from submittal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§65943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Application deemed complete</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EIR Project Decision</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180 days from certification</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§65950</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Project deemed approved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ND/MND Project Decision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60 days from adoption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§65950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Project deemed approved</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Exempt Project Decision</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60 days from determination</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§65950</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Project deemed approved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SB 35 Review (under 150 units)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90 days from submittal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§65913.4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Project deemed approved</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SB 35 Review (150+ units)</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180 days from submittal</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§65913.4</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Project deemed approved</w:t>
            </w:r>
          </w:p>
        </w:tc>
      </w:tr>
    </w:tbl>
    <w:p>
      <w:r>
        <w:br w:type="page"/>
      </w:r>
    </w:p>
    <w:p>
      <w:pPr>
        <w:pStyle w:val="Heading1"/>
      </w:pPr>
      <w:r>
        <w:t xml:space="preserve">Appendices</w:t>
      </w:r>
    </w:p>
    <w:p>
      <w:pPr>
        <w:pStyle w:val="Heading2"/>
      </w:pPr>
      <w:r>
        <w:t xml:space="preserve">Appendix A: Key Statute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Primary Statute</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Secondary/Related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General Plans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Gov. Code §65000–65763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Guidelines for GP (§65040.2)</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Zoning</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Gov. Code §65800–65912</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Variance (§65906)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Subdivision Map Act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Gov. Code §66410–66499.38</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Vesting Maps (§66498.1–6)</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CEQA</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PRC §21000+</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Guidelines (14 CCR §15000+)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Housing Accountability Act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Gov. Code §65589.5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As amended by SB 167, AB 3194</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SB 35 Streamlining</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Gov. Code §65913.4</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HCD Annual Determination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SB 9 HOME Act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Gov. Code §65852.21, §66452.6</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SB 330 Housing Crisis Act</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Gov. Code §65941.1, §65905.5</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Extended by SB 423 through 2030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Density Bonus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Gov. Code §65915–65918</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AB 2345, AB 1763</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ADU Law</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Gov. Code §65852.2, .22</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AB 68, AB 881, SB 897, AB 1033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Permit Streamlining Act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Gov. Code §65920–65964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Development Agreements</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Gov. Code §65864–65869.5</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Mitigation Fee Act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Gov. Code §66000–66025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AB 1483 (fee transparency)</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Coastal Act</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PRC §30000+</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
            </w:r>
          </w:p>
        </w:tc>
      </w:tr>
    </w:tbl>
    <w:p>
      <w:pPr>
        <w:pStyle w:val="Heading2"/>
      </w:pPr>
      <w:r>
        <w:t xml:space="preserve">Appendix B: Agency Contacts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Resource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URL / Contact</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HCD Housing Element Compliance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hcd.ca.gov</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SB 35 status, RHNA compliance</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CalEnviroScreen 4.0</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oehha.ca.gov/calenviroscreen</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Environmental justice screening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CGS Earthquake Hazard Zones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maps.conservation.ca.gov</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Alquist-Priolo, liquefaction, landslide</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FEMA Flood Maps</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msc.fema.gov</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Flood zone determination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DTSC EnviroStor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envirostor.dtsc.ca.gov</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Contamination site database</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SWRCB GeoTracker</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geotracker.waterboards.ca.gov</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Groundwater contamination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CAL FIRE FHSZ</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osfm.fire.ca.gov</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Fire hazard severity zones</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Santa Clara County GIS</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sccgov.org</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Parcel data, zoning, assessor</w:t>
            </w:r>
          </w:p>
        </w:tc>
      </w:tr>
    </w:tbl>
    <w:p>
      <w:pPr>
        <w:pStyle w:val="Heading2"/>
      </w:pPr>
      <w:r>
        <w:t xml:space="preserve">Appendix C: AI Tutor Session Index</w:t>
      </w:r>
    </w:p>
    <w:p>
      <w:pPr>
        <w:spacing w:before="80" w:after="80"/>
      </w:pPr>
      <w:r>
        <w:rPr>
          <w:rFonts w:ascii="Arial" w:cs="Arial" w:eastAsia="Arial" w:hAnsi="Arial"/>
          <w:color w:val="1A1A1A"/>
          <w:sz w:val="22"/>
          <w:szCs w:val="22"/>
        </w:rPr>
        <w:t xml:space="preserve">This appendix lists all pre-designed Claude AI tutoring sessions organized by topic. Copy any prompt into a new Claude conversation for an interactive 15–30 minute learning session with quizzes, case studies, and project-specific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3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Session</w:t>
            </w:r>
          </w:p>
        </w:tc>
        <w:tc>
          <w:tcPr>
            <w:tcW w:type="dxa" w:w="5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Format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Zoning code navigation — applied to your active projects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Case study + quiz</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1.2</w:t>
            </w:r>
          </w:p>
        </w:tc>
        <w:tc>
          <w:tcPr>
            <w:tcW w:type="dxa" w:w="5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Zoning compliance comparison (Morey Dr vs. Longfellow)</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Side-by-side analysis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Density bonus calculation scenarios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5-scenario quiz</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1.4</w:t>
            </w:r>
          </w:p>
        </w:tc>
        <w:tc>
          <w:tcPr>
            <w:tcW w:type="dxa" w:w="5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SB 9 lot split interaction with existing zoning</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Case study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CEQA decision tree applied to your projects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Walkthrough</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2.2</w:t>
            </w:r>
          </w:p>
        </w:tc>
        <w:tc>
          <w:tcPr>
            <w:tcW w:type="dxa" w:w="5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CEQA case study — determine correct review level</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Interactive analysis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Categorical exemptions for residential development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10-exemption deep dive</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2.4</w:t>
            </w:r>
          </w:p>
        </w:tc>
        <w:tc>
          <w:tcPr>
            <w:tcW w:type="dxa" w:w="5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CEQA attorney role-play — adversarial review</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Role-play simulation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ADU law applied to 1378 Longfellow project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Project-specific</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3.2</w:t>
            </w:r>
          </w:p>
        </w:tc>
        <w:tc>
          <w:tcPr>
            <w:tcW w:type="dxa" w:w="5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SB 35 eligibility determination for Eagle Garden</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Case study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ADU quiz — 5 scenarios with different constraints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Quiz</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3.4</w:t>
            </w:r>
          </w:p>
        </w:tc>
        <w:tc>
          <w:tcPr>
            <w:tcW w:type="dxa" w:w="5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Latest ADU law changes and project impact</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Research + analysis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Preliminary title report red flag identification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Mock exercise</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4.2</w:t>
            </w:r>
          </w:p>
        </w:tc>
        <w:tc>
          <w:tcPr>
            <w:tcW w:type="dxa" w:w="5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ALTA Table A items selection and justification</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Reference study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Geotechnical report reading for developers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10-item checklist</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4.4</w:t>
            </w:r>
          </w:p>
        </w:tc>
        <w:tc>
          <w:tcPr>
            <w:tcW w:type="dxa" w:w="5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Liquefaction risk — Menlo Park vs. San Jose comparison</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Technical analysis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Entitlement hearing simulation — planning commissioner role-play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Role-play</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5.2</w:t>
            </w:r>
          </w:p>
        </w:tc>
        <w:tc>
          <w:tcPr>
            <w:tcW w:type="dxa" w:w="5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Conditions of approval negotiation exercise</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Negotiation simulation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Impact fee estimation for Eagle Garden 202-unit project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Financial analysis</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5.4</w:t>
            </w:r>
          </w:p>
        </w:tc>
        <w:tc>
          <w:tcPr>
            <w:tcW w:type="dxa" w:w="5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Fee sensitivity analysis on project IRR</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Pro forma modeling</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6B7280"/>
        <w:sz w:val="16"/>
        <w:szCs w:val="16"/>
      </w:rPr>
      <w:t xml:space="preserve">SVDen Development</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7DD8" w:sz="2" w:space="4"/>
      </w:pBdr>
      <w:tabs>
        <w:tab w:val="right" w:pos="9026"/>
      </w:tabs>
      <w:spacing w:after="80"/>
    </w:pPr>
    <w:r>
      <w:rPr>
        <w:rFonts w:ascii="Arial" w:cs="Arial" w:eastAsia="Arial" w:hAnsi="Arial"/>
        <w:i/>
        <w:iCs/>
        <w:color w:val="6B7280"/>
        <w:sz w:val="18"/>
        <w:szCs w:val="18"/>
      </w:rPr>
      <w:t xml:space="preserve">California Land Use &amp; Development — Essential Skills Guidebook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9"/>
    <w:lvlOverride w:ilvl="0">
      <w:startOverride w:val="1"/>
    </w:lvlOverride>
  </w:num>
  <w:num w:numId="6">
    <w:abstractNumId w:val="5"/>
    <w:lvlOverride w:ilvl="0">
      <w:startOverride w:val="1"/>
    </w:lvlOverride>
  </w:num>
  <w:num w:numId="7">
    <w:abstractNumId w:val="10"/>
    <w:lvlOverride w:ilvl="0">
      <w:startOverride w:val="1"/>
    </w:lvlOverride>
  </w:num>
  <w:num w:numId="8">
    <w:abstractNumId w:val="6"/>
    <w:lvlOverride w:ilvl="0">
      <w:startOverride w:val="1"/>
    </w:lvlOverride>
  </w:num>
  <w:num w:numId="9">
    <w:abstractNumId w:val="11"/>
    <w:lvlOverride w:ilvl="0">
      <w:startOverride w:val="1"/>
    </w:lvlOverride>
  </w:num>
  <w:num w:numId="10">
    <w:abstractNumId w:val="7"/>
    <w:lvlOverride w:ilvl="0">
      <w:startOverride w:val="1"/>
    </w:lvlOverride>
  </w:num>
  <w:num w:numId="11">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2A4A"/>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2E4057"/>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B7DD8"/>
      <w:sz w:val="26"/>
      <w:szCs w:val="26"/>
    </w:rPr>
  </w:style>
  <w:style w:type="paragraph" w:styleId="Heading4">
    <w:name w:val="Heading 4"/>
    <w:basedOn w:val="Normal"/>
    <w:next w:val="Normal"/>
    <w:qFormat/>
    <w:pPr>
      <w:spacing w:before="160" w:after="100"/>
      <w:outlineLvl w:val="3"/>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2026-02-14T21:22:35.280Z</dcterms:created>
  <dcterms:modified xsi:type="dcterms:W3CDTF">2026-02-14T21:22:35.281Z</dcterms:modified>
</cp:coreProperties>
</file>

<file path=docProps/custom.xml><?xml version="1.0" encoding="utf-8"?>
<Properties xmlns="http://schemas.openxmlformats.org/officeDocument/2006/custom-properties" xmlns:vt="http://schemas.openxmlformats.org/officeDocument/2006/docPropsVTypes"/>
</file>