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1B3A5C"/>
          <w:sz w:val="56"/>
          <w:szCs w:val="56"/>
        </w:rPr>
        <w:t xml:space="preserve">FRONTIER BUILDER</w:t>
      </w:r>
    </w:p>
    <w:p>
      <w:pPr>
        <w:spacing w:after="200"/>
        <w:jc w:val="center"/>
      </w:pPr>
      <w:r>
        <w:rPr>
          <w:rFonts w:ascii="Arial" w:cs="Arial" w:eastAsia="Arial" w:hAnsi="Arial"/>
          <w:b/>
          <w:bCs/>
          <w:color w:val="2E5984"/>
          <w:sz w:val="48"/>
          <w:szCs w:val="48"/>
        </w:rPr>
        <w:t xml:space="preserve">CASE STUDIES</w:t>
      </w:r>
    </w:p>
    <w:p>
      <w:pPr>
        <w:pBdr>
          <w:bottom w:val="single" w:color="4A90D9" w:sz="4" w:space="8"/>
        </w:pBdr>
        <w:spacing w:after="300"/>
        <w:jc w:val="center"/>
      </w:pPr>
    </w:p>
    <w:p>
      <w:pPr>
        <w:spacing w:after="60"/>
        <w:jc w:val="center"/>
      </w:pPr>
      <w:r>
        <w:rPr>
          <w:rFonts w:ascii="Arial" w:cs="Arial" w:eastAsia="Arial" w:hAnsi="Arial"/>
          <w:i/>
          <w:iCs/>
          <w:color w:val="666666"/>
          <w:sz w:val="26"/>
          <w:szCs w:val="26"/>
        </w:rPr>
        <w:t xml:space="preserve">Technology-Enabled Construction in California:</w:t>
      </w:r>
    </w:p>
    <w:p>
      <w:pPr>
        <w:spacing w:after="500"/>
        <w:jc w:val="center"/>
      </w:pPr>
      <w:r>
        <w:rPr>
          <w:rFonts w:ascii="Arial" w:cs="Arial" w:eastAsia="Arial" w:hAnsi="Arial"/>
          <w:i/>
          <w:iCs/>
          <w:color w:val="666666"/>
          <w:sz w:val="26"/>
          <w:szCs w:val="26"/>
        </w:rPr>
        <w:t xml:space="preserve">Who Survived, Who Didn’t, and What It Means for SVDen</w:t>
      </w:r>
    </w:p>
    <w:p>
      <w:pPr>
        <w:spacing w:after="100"/>
        <w:jc w:val="center"/>
      </w:pPr>
      <w:r>
        <w:rPr>
          <w:rFonts w:ascii="Arial" w:cs="Arial" w:eastAsia="Arial" w:hAnsi="Arial"/>
          <w:b/>
          <w:bCs/>
          <w:color w:val="2E5984"/>
          <w:sz w:val="22"/>
          <w:szCs w:val="22"/>
        </w:rPr>
        <w:t xml:space="preserve">Five Detailed Case Studies  •  McKinsey Framework Analysis  •  Strategic Implications</w:t>
      </w:r>
    </w:p>
    <w:p>
      <w:pPr>
        <w:spacing w:after="60"/>
        <w:jc w:val="center"/>
      </w:pPr>
      <w:r>
        <w:rPr>
          <w:rFonts w:ascii="Arial" w:cs="Arial" w:eastAsia="Arial" w:hAnsi="Arial"/>
          <w:color w:val="666666"/>
          <w:sz w:val="22"/>
          <w:szCs w:val="22"/>
        </w:rPr>
        <w:t xml:space="preserve">Thomas James Homes  •  Aro Homes  •  Livio Building Systems</w:t>
      </w:r>
    </w:p>
    <w:p>
      <w:pPr>
        <w:spacing w:after="500"/>
        <w:jc w:val="center"/>
      </w:pPr>
      <w:r>
        <w:rPr>
          <w:rFonts w:ascii="Arial" w:cs="Arial" w:eastAsia="Arial" w:hAnsi="Arial"/>
          <w:color w:val="C0392B"/>
          <w:sz w:val="22"/>
          <w:szCs w:val="22"/>
        </w:rPr>
        <w:t xml:space="preserve">Veev (Post-Mortem)  •  Katerra (Post-Mortem)</w:t>
      </w:r>
    </w:p>
    <w:p>
      <w:pPr>
        <w:spacing w:after="60"/>
        <w:jc w:val="center"/>
      </w:pPr>
      <w:r>
        <w:rPr>
          <w:rFonts w:ascii="Arial" w:cs="Arial" w:eastAsia="Arial" w:hAnsi="Arial"/>
          <w:color w:val="666666"/>
          <w:sz w:val="20"/>
          <w:szCs w:val="20"/>
        </w:rPr>
        <w:t xml:space="preserve">CA Land Use &amp; Development Learning System  •  Chapter Supplement</w:t>
      </w:r>
    </w:p>
    <w:p>
      <w:pPr>
        <w:jc w:val="center"/>
      </w:pPr>
      <w:r>
        <w:rPr>
          <w:rFonts w:ascii="Arial" w:cs="Arial" w:eastAsia="Arial" w:hAnsi="Arial"/>
          <w:color w:val="666666"/>
          <w:sz w:val="20"/>
          <w:szCs w:val="20"/>
        </w:rPr>
        <w:t xml:space="preserve">SVDen Development  •  California GC License #B-1049430</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4A90D9" w:sz="4" w:space="4"/>
        </w:pBdr>
        <w:spacing w:before="360" w:after="200"/>
      </w:pPr>
      <w:r>
        <w:rPr>
          <w:rFonts w:ascii="Arial" w:cs="Arial" w:eastAsia="Arial" w:hAnsi="Arial"/>
          <w:b/>
          <w:bCs/>
          <w:color w:val="1B3A5C"/>
          <w:sz w:val="28"/>
          <w:szCs w:val="28"/>
        </w:rPr>
        <w:t xml:space="preserve">Executive Overview: The Industrialized Construction Landscape</w:t>
      </w:r>
    </w:p>
    <w:p>
      <w:pPr>
        <w:spacing w:after="120" w:line="276"/>
      </w:pPr>
      <w:r>
        <w:rPr>
          <w:rFonts w:ascii="Arial" w:cs="Arial" w:eastAsia="Arial" w:hAnsi="Arial"/>
          <w:color w:val="333333"/>
          <w:sz w:val="21"/>
          <w:szCs w:val="21"/>
        </w:rPr>
        <w:t xml:space="preserve">California’s residential construction industry is undergoing a generational transition. Labor shortages, housing policy mandates, wildfire reconstruction, and AI-enabled design tools are converging to create both massive opportunity and existential risk for builders. This supplement analyzes five frontier players through a McKinsey-style strategy framework to extract operational lessons for SVDen’s positioning.</w:t>
      </w:r>
    </w:p>
    <w:p>
      <w:pPr>
        <w:spacing w:after="120" w:line="276"/>
      </w:pPr>
      <w:r>
        <w:rPr>
          <w:rFonts w:ascii="Arial" w:cs="Arial" w:eastAsia="Arial" w:hAnsi="Arial"/>
          <w:color w:val="333333"/>
          <w:sz w:val="21"/>
          <w:szCs w:val="21"/>
        </w:rPr>
        <w:t xml:space="preserve">The central strategic question: What is the right level of vertical integration and technology adoption for a mid-market California builder-developer? The five case studies below represent five distinct answers to this question, ranging from full vertical integration (Katerra, Veev) to asset-light platform models (TJH, Aro) to component-supply plays (Livio). Two of these five are dead. The differences in their strategies explain why.</w:t>
      </w:r>
    </w:p>
    <w:p>
      <w:pPr>
        <w:spacing w:before="200"/>
      </w:pPr>
    </w:p>
    <w:p>
      <w:pPr>
        <w:pStyle w:val="Heading2"/>
        <w:spacing w:before="280" w:after="160"/>
      </w:pPr>
      <w:r>
        <w:rPr>
          <w:rFonts w:ascii="Arial" w:cs="Arial" w:eastAsia="Arial" w:hAnsi="Arial"/>
          <w:b/>
          <w:bCs/>
          <w:color w:val="2E5984"/>
          <w:sz w:val="24"/>
          <w:szCs w:val="24"/>
        </w:rPr>
        <w:t xml:space="preserve">Landscape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400"/>
        <w:gridCol w:w="1200"/>
        <w:gridCol w:w="1100"/>
        <w:gridCol w:w="116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Company</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Model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Capital Raised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Scale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AI Use</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Verdict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TJH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Single-Lot Replacement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PE-backed (Oaktree)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Thriving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350+/yr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19"/>
                <w:szCs w:val="19"/>
              </w:rPr>
              <w:t xml:space="preserve">Winner</w:t>
            </w:r>
          </w:p>
        </w:tc>
      </w:tr>
      <w:tr>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19"/>
                <w:szCs w:val="19"/>
              </w:rPr>
              <w:t xml:space="preserve">Aro Homes</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Prefab SFR Spec</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$82.8M VC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27AE60"/>
                <w:sz w:val="19"/>
                <w:szCs w:val="19"/>
              </w:rPr>
              <w:t xml:space="preserve">Growing</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~10-20/yr</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1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E67E22"/>
                <w:sz w:val="19"/>
                <w:szCs w:val="19"/>
              </w:rPr>
              <w:t xml:space="preserve">Promising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Livio (Aron)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CFS Panel Mfg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Seed Stage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19"/>
                <w:szCs w:val="19"/>
              </w:rPr>
              <w:t xml:space="preserve">License Susp.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 projects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Medium</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9"/>
                <w:szCs w:val="19"/>
              </w:rPr>
              <w:t xml:space="preserve">At Risk</w:t>
            </w:r>
          </w:p>
        </w:tc>
      </w:tr>
      <w:tr>
        <w:tc>
          <w:tcPr>
            <w:tcW w:type="dxa" w:w="17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19"/>
                <w:szCs w:val="19"/>
              </w:rPr>
              <w:t xml:space="preserve">Veev</w:t>
            </w:r>
          </w:p>
        </w:tc>
        <w:tc>
          <w:tcPr>
            <w:tcW w:type="dxa" w:w="1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Full-Stack Prefab</w:t>
            </w:r>
          </w:p>
        </w:tc>
        <w:tc>
          <w:tcPr>
            <w:tcW w:type="dxa" w:w="1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$600M VC</w:t>
            </w:r>
          </w:p>
        </w:tc>
        <w:tc>
          <w:tcPr>
            <w:tcW w:type="dxa" w:w="1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C0392B"/>
                <w:sz w:val="19"/>
                <w:szCs w:val="19"/>
              </w:rPr>
              <w:t xml:space="preserve">Liquidated</w:t>
            </w:r>
          </w:p>
        </w:tc>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~170 units</w:t>
            </w:r>
          </w:p>
        </w:tc>
        <w:tc>
          <w:tcPr>
            <w:tcW w:type="dxa" w:w="1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Very High</w:t>
            </w:r>
          </w:p>
        </w:tc>
        <w:tc>
          <w:tcPr>
            <w:tcW w:type="dxa" w:w="1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C0392B"/>
                <w:sz w:val="19"/>
                <w:szCs w:val="19"/>
              </w:rPr>
              <w:t xml:space="preserve">Dead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Katerra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Full-Stack Supply Chain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$2.4B VC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9"/>
                <w:szCs w:val="19"/>
              </w:rPr>
              <w:t xml:space="preserve">Liquidated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Various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High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19"/>
                <w:szCs w:val="19"/>
              </w:rPr>
              <w:t xml:space="preserve">Dead</w:t>
            </w:r>
          </w:p>
        </w:tc>
      </w:tr>
    </w:tbl>
    <w:p>
      <w:pPr>
        <w:spacing w:before="300"/>
      </w:pPr>
    </w:p>
    <w:p>
      <w:pPr>
        <w:pStyle w:val="Heading2"/>
        <w:spacing w:before="280" w:after="160"/>
      </w:pPr>
      <w:r>
        <w:rPr>
          <w:rFonts w:ascii="Arial" w:cs="Arial" w:eastAsia="Arial" w:hAnsi="Arial"/>
          <w:b/>
          <w:bCs/>
          <w:color w:val="2E5984"/>
          <w:sz w:val="24"/>
          <w:szCs w:val="24"/>
        </w:rPr>
        <w:t xml:space="preserve">Key Finding: The Survival Curve</w:t>
      </w:r>
    </w:p>
    <w:p>
      <w:pPr>
        <w:spacing w:after="120" w:line="276"/>
      </w:pPr>
      <w:r>
        <w:rPr>
          <w:rFonts w:ascii="Arial" w:cs="Arial" w:eastAsia="Arial" w:hAnsi="Arial"/>
          <w:color w:val="333333"/>
          <w:sz w:val="21"/>
          <w:szCs w:val="21"/>
        </w:rPr>
        <w:t xml:space="preserve">The pattern is unmistakable. The two companies that failed (Katerra, Veev) both pursued maximum vertical integration—owning factories, supply chains, materials R&amp;D, and real estate simultaneously—funded by VC capital with burn rates that required rapid scaling to survive. The two companies that are thriving (TJH, Aro) maintained capital discipline: TJH through PE backing with real cash flows, Aro through a single-product focus with constrained geography. Livio occupies the middle ground—a component supplier with promising unit economics but operational risk.</w:t>
      </w:r>
    </w:p>
    <w:p>
      <w:pPr>
        <w:pBdr>
          <w:left w:val="single" w:color="4A90D9" w:sz="6" w:space="6"/>
        </w:pBdr>
        <w:spacing w:before="80" w:after="100"/>
        <w:ind w:left="200"/>
      </w:pPr>
      <w:r>
        <w:rPr>
          <w:rFonts w:ascii="Arial" w:cs="Arial" w:eastAsia="Arial" w:hAnsi="Arial"/>
          <w:b/>
          <w:bCs/>
          <w:color w:val="2E5984"/>
          <w:sz w:val="20"/>
          <w:szCs w:val="20"/>
        </w:rPr>
        <w:t xml:space="preserve">FRAMEWORK: </w:t>
      </w:r>
      <w:r>
        <w:rPr>
          <w:rFonts w:ascii="Arial" w:cs="Arial" w:eastAsia="Arial" w:hAnsi="Arial"/>
          <w:i/>
          <w:iCs/>
          <w:color w:val="666666"/>
          <w:sz w:val="20"/>
          <w:szCs w:val="20"/>
        </w:rPr>
        <w:t xml:space="preserve">The key variable is not technology sophistication—it is capital efficiency. The winners use technology to compress timelines and improve margins within proven business models. The losers used technology as the business model itself, burning capital to prove a thesis that required perfect execution across too many simultaneous fronts.</w:t>
      </w:r>
    </w:p>
    <w:p>
      <w:pPr>
        <w:sectPr>
          <w:pgSz w:w="12240" w:h="15840" w:orient="portrait"/>
          <w:pgMar w:top="1440" w:right="1440" w:bottom="1440" w:left="1440" w:header="708" w:footer="708" w:gutter="0"/>
          <w:pgNumType/>
          <w:docGrid w:linePitch="360"/>
        </w:sectPr>
      </w:pPr>
    </w:p>
    <w:p>
      <w:pPr>
        <w:pStyle w:val="Heading1"/>
        <w:pBdr>
          <w:bottom w:val="single" w:color="4A90D9" w:sz="4" w:space="4"/>
        </w:pBdr>
        <w:spacing w:before="360" w:after="200"/>
      </w:pPr>
      <w:r>
        <w:rPr>
          <w:rFonts w:ascii="Arial" w:cs="Arial" w:eastAsia="Arial" w:hAnsi="Arial"/>
          <w:b/>
          <w:bCs/>
          <w:color w:val="1B3A5C"/>
          <w:sz w:val="28"/>
          <w:szCs w:val="28"/>
        </w:rPr>
        <w:t xml:space="preserve">Case Study 1: Thomas James Homes (TJH)</w:t>
      </w:r>
    </w:p>
    <w:p>
      <w:pPr>
        <w:spacing w:before="200" w:after="120"/>
      </w:pPr>
      <w:r>
        <w:rPr>
          <w:rFonts w:ascii="Arial" w:cs="Arial" w:eastAsia="Arial" w:hAnsi="Arial"/>
          <w:b/>
          <w:bCs/>
          <w:color w:val="2E5984"/>
          <w:sz w:val="22"/>
          <w:szCs w:val="22"/>
        </w:rPr>
        <w:t xml:space="preserve">The Replacement Homebuilder That Became a National Platform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HQ</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Backing</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2006 (Aliso Viejo, 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Phoenix, AZ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Oaktree Capital (PE)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350+ homes/yr</w:t>
            </w:r>
          </w:p>
        </w:tc>
      </w:tr>
    </w:tbl>
    <w:p>
      <w:pPr>
        <w:spacing w:before="200"/>
      </w:pPr>
    </w:p>
    <w:p>
      <w:pPr>
        <w:pStyle w:val="Heading2"/>
        <w:spacing w:before="280" w:after="160"/>
      </w:pPr>
      <w:r>
        <w:rPr>
          <w:rFonts w:ascii="Arial" w:cs="Arial" w:eastAsia="Arial" w:hAnsi="Arial"/>
          <w:b/>
          <w:bCs/>
          <w:color w:val="2E5984"/>
          <w:sz w:val="24"/>
          <w:szCs w:val="24"/>
        </w:rPr>
        <w:t xml:space="preserve">1.1 Business Model: Disciplined Horizontal Integration</w:t>
      </w:r>
    </w:p>
    <w:p>
      <w:pPr>
        <w:spacing w:after="120" w:line="276"/>
      </w:pPr>
      <w:r>
        <w:rPr>
          <w:rFonts w:ascii="Arial" w:cs="Arial" w:eastAsia="Arial" w:hAnsi="Arial"/>
          <w:color w:val="333333"/>
          <w:sz w:val="21"/>
          <w:szCs w:val="21"/>
        </w:rPr>
        <w:t xml:space="preserve">TJH is the nation’s largest single-lot replacement homebuilder. Its thesis is deceptively simple: in established metro neighborhoods where the average home is 56+ years old, there is enormous latent demand for new construction on existing lots. TJH acquires infill lots with functionally obsolete homes, demolishes, and rebuilds design-driven new homes at scale. More recently, BUILD by TJH lets existing homeowners hire TJH to demolish and rebuild on their own lot.</w:t>
      </w:r>
    </w:p>
    <w:p>
      <w:pPr>
        <w:spacing w:after="120" w:line="276"/>
      </w:pPr>
      <w:r>
        <w:rPr>
          <w:rFonts w:ascii="Arial" w:cs="Arial" w:eastAsia="Arial" w:hAnsi="Arial"/>
          <w:color w:val="333333"/>
          <w:sz w:val="21"/>
          <w:szCs w:val="21"/>
        </w:rPr>
        <w:t xml:space="preserve">The integration model is horizontal, not vertical. TJH does not own factories or manufacture components. Instead, it integrates five functions under one roof: land sourcing/acquisition, architecture, permitting, construction management, and interior design. This gives it schedule predictability without the capital intensity of factory ownership.</w:t>
      </w:r>
    </w:p>
    <w:p>
      <w:pPr>
        <w:pStyle w:val="Heading2"/>
        <w:spacing w:before="280" w:after="160"/>
      </w:pPr>
      <w:r>
        <w:rPr>
          <w:rFonts w:ascii="Arial" w:cs="Arial" w:eastAsia="Arial" w:hAnsi="Arial"/>
          <w:b/>
          <w:bCs/>
          <w:color w:val="2E5984"/>
          <w:sz w:val="24"/>
          <w:szCs w:val="24"/>
        </w:rPr>
        <w:t xml:space="preserve">1.2 The Three Revenue Channels</w:t>
      </w:r>
    </w:p>
    <w:p>
      <w:pPr>
        <w:spacing w:after="100" w:line="276"/>
      </w:pPr>
      <w:r>
        <w:rPr>
          <w:rFonts w:ascii="Arial" w:cs="Arial" w:eastAsia="Arial" w:hAnsi="Arial"/>
          <w:b/>
          <w:bCs/>
          <w:color w:val="333333"/>
          <w:sz w:val="21"/>
          <w:szCs w:val="21"/>
        </w:rPr>
        <w:t xml:space="preserve">Market Homes (Spec): </w:t>
      </w:r>
      <w:r>
        <w:rPr>
          <w:rFonts w:ascii="Arial" w:cs="Arial" w:eastAsia="Arial" w:hAnsi="Arial"/>
          <w:color w:val="333333"/>
          <w:sz w:val="21"/>
          <w:szCs w:val="21"/>
        </w:rPr>
        <w:t xml:space="preserve">TJH acquires lot, builds spec, sells completed home. This was the original model and remains the primary revenue driver at 275–300 homes/year.</w:t>
      </w:r>
    </w:p>
    <w:p>
      <w:pPr>
        <w:spacing w:after="100" w:line="276"/>
      </w:pPr>
      <w:r>
        <w:rPr>
          <w:rFonts w:ascii="Arial" w:cs="Arial" w:eastAsia="Arial" w:hAnsi="Arial"/>
          <w:b/>
          <w:bCs/>
          <w:color w:val="333333"/>
          <w:sz w:val="21"/>
          <w:szCs w:val="21"/>
        </w:rPr>
        <w:t xml:space="preserve">Pre-Construction: </w:t>
      </w:r>
      <w:r>
        <w:rPr>
          <w:rFonts w:ascii="Arial" w:cs="Arial" w:eastAsia="Arial" w:hAnsi="Arial"/>
          <w:color w:val="333333"/>
          <w:sz w:val="21"/>
          <w:szCs w:val="21"/>
        </w:rPr>
        <w:t xml:space="preserve">Buyer purchases during construction at a discount. Earlier purchase = lower price. This is TJH’s version of presale—the buyer gets a discount, TJH reduces market risk and improves ROIC through faster capital recycling.</w:t>
      </w:r>
    </w:p>
    <w:p>
      <w:pPr>
        <w:spacing w:after="100" w:line="276"/>
      </w:pPr>
      <w:r>
        <w:rPr>
          <w:rFonts w:ascii="Arial" w:cs="Arial" w:eastAsia="Arial" w:hAnsi="Arial"/>
          <w:b/>
          <w:bCs/>
          <w:color w:val="333333"/>
          <w:sz w:val="21"/>
          <w:szCs w:val="21"/>
        </w:rPr>
        <w:t xml:space="preserve">BUILD by TJH: </w:t>
      </w:r>
      <w:r>
        <w:rPr>
          <w:rFonts w:ascii="Arial" w:cs="Arial" w:eastAsia="Arial" w:hAnsi="Arial"/>
          <w:color w:val="333333"/>
          <w:sz w:val="21"/>
          <w:szCs w:val="21"/>
        </w:rPr>
        <w:t xml:space="preserve">Homeowner hires TJH to demolish and rebuild their existing home. Launched via Private Client Group in 2023, this channel addresses demand from neighbors who see TJH builds going up on their street.</w:t>
      </w:r>
    </w:p>
    <w:p>
      <w:pPr>
        <w:pStyle w:val="Heading2"/>
        <w:spacing w:before="280" w:after="160"/>
      </w:pPr>
      <w:r>
        <w:rPr>
          <w:rFonts w:ascii="Arial" w:cs="Arial" w:eastAsia="Arial" w:hAnsi="Arial"/>
          <w:b/>
          <w:bCs/>
          <w:color w:val="2E5984"/>
          <w:sz w:val="24"/>
          <w:szCs w:val="24"/>
        </w:rPr>
        <w:t xml:space="preserve">1.3 Competitive Advantages (Porter Five Forces)</w:t>
      </w:r>
    </w:p>
    <w:p>
      <w:pPr>
        <w:spacing w:after="120" w:line="276"/>
      </w:pPr>
      <w:r>
        <w:rPr>
          <w:rFonts w:ascii="Arial" w:cs="Arial" w:eastAsia="Arial" w:hAnsi="Arial"/>
          <w:color w:val="333333"/>
          <w:sz w:val="21"/>
          <w:szCs w:val="21"/>
        </w:rPr>
        <w:t xml:space="preserve">Barriers to entry are high because TJH’s advantage is systemic, not technological. It requires simultaneous excellence in land sourcing (local market intelligence), design (standardized but neighborhood-appropriate), permitting (navigating infill discretionary review), and construction (trade partner network). Any new entrant attempting this must build all four capabilities simultaneously.</w:t>
      </w:r>
    </w:p>
    <w:p>
      <w:pPr>
        <w:spacing w:after="120" w:line="276"/>
      </w:pPr>
      <w:r>
        <w:rPr>
          <w:rFonts w:ascii="Arial" w:cs="Arial" w:eastAsia="Arial" w:hAnsi="Arial"/>
          <w:color w:val="333333"/>
          <w:sz w:val="21"/>
          <w:szCs w:val="21"/>
        </w:rPr>
        <w:t xml:space="preserve">TJH’s pricing guarantee is the critical differentiator in the BUILD channel. By controlling architecture, engineering, and construction internally, TJH can offer a fixed $650/SF price guarantee with a 12-month completion timeline. If the home is not completed by the 12-month mark, TJH pays the homeowner a daily penalty fee. No custom builder or remodeler in the market offers this structure.</w:t>
      </w:r>
    </w:p>
    <w:p>
      <w:pPr>
        <w:pStyle w:val="Heading2"/>
        <w:spacing w:before="280" w:after="160"/>
      </w:pPr>
      <w:r>
        <w:rPr>
          <w:rFonts w:ascii="Arial" w:cs="Arial" w:eastAsia="Arial" w:hAnsi="Arial"/>
          <w:b/>
          <w:bCs/>
          <w:color w:val="2E5984"/>
          <w:sz w:val="24"/>
          <w:szCs w:val="24"/>
        </w:rPr>
        <w:t xml:space="preserve">1.4 Technology Stack: Targeted, Not Transformative</w:t>
      </w:r>
    </w:p>
    <w:p>
      <w:pPr>
        <w:spacing w:after="120" w:line="276"/>
      </w:pPr>
      <w:r>
        <w:rPr>
          <w:rFonts w:ascii="Arial" w:cs="Arial" w:eastAsia="Arial" w:hAnsi="Arial"/>
          <w:color w:val="333333"/>
          <w:sz w:val="21"/>
          <w:szCs w:val="21"/>
        </w:rPr>
        <w:t xml:space="preserve">TJH’s technology strategy is pragmatic rather than revolutionary. REVEAL by TJH is a proprietary VR platform deployed across five Design Studios (Scottsdale, Orange County, LA, Northern California, Pacific Northwest) that lets clients take immersive virtual tours of their future home before groundbreaking. This solves the visualization problem that kills custom home sales—buyers cannot imagine what they’re getting—without requiring AI or prefab manufacturing.</w:t>
      </w:r>
    </w:p>
    <w:p>
      <w:pPr>
        <w:spacing w:after="120" w:line="276"/>
      </w:pPr>
      <w:r>
        <w:rPr>
          <w:rFonts w:ascii="Arial" w:cs="Arial" w:eastAsia="Arial" w:hAnsi="Arial"/>
          <w:color w:val="333333"/>
          <w:sz w:val="21"/>
          <w:szCs w:val="21"/>
        </w:rPr>
        <w:t xml:space="preserve">The company’s real technology advantage is data-driven site selection. With 1,100+ completed homes across five markets, TJH has an institutional dataset on what sells, at what price point, in which neighborhoods. This informs lot acquisition decisions with actuarial precision rather than gut feel.</w:t>
      </w:r>
    </w:p>
    <w:p>
      <w:pPr>
        <w:pStyle w:val="Heading2"/>
        <w:spacing w:before="280" w:after="160"/>
      </w:pPr>
      <w:r>
        <w:rPr>
          <w:rFonts w:ascii="Arial" w:cs="Arial" w:eastAsia="Arial" w:hAnsi="Arial"/>
          <w:b/>
          <w:bCs/>
          <w:color w:val="2E5984"/>
          <w:sz w:val="24"/>
          <w:szCs w:val="24"/>
        </w:rPr>
        <w:t xml:space="preserve">1.5 Pacific Palisades Wildfire Response</w:t>
      </w:r>
    </w:p>
    <w:p>
      <w:pPr>
        <w:spacing w:after="120" w:line="276"/>
      </w:pPr>
      <w:r>
        <w:rPr>
          <w:rFonts w:ascii="Arial" w:cs="Arial" w:eastAsia="Arial" w:hAnsi="Arial"/>
          <w:color w:val="333333"/>
          <w:sz w:val="21"/>
          <w:szCs w:val="21"/>
        </w:rPr>
        <w:t xml:space="preserve">TJH’s response to the January 2025 LA wildfires is a masterclass in market positioning. Rather than waiting for the reconstruction wave, TJH immediately deployed to Pacific Palisades, completing a showcase home at 915 Kagawa Street—the first rebuild in the Palisades—by year-end. The home began construction in May and was complete before December, demonstrating the 12-month timeline in real-time for a traumatized community desperate for certainty.</w:t>
      </w:r>
    </w:p>
    <w:p>
      <w:pPr>
        <w:spacing w:after="120" w:line="276"/>
      </w:pPr>
      <w:r>
        <w:rPr>
          <w:rFonts w:ascii="Arial" w:cs="Arial" w:eastAsia="Arial" w:hAnsi="Arial"/>
          <w:color w:val="333333"/>
          <w:sz w:val="21"/>
          <w:szCs w:val="21"/>
        </w:rPr>
        <w:t xml:space="preserve">Simultaneously, Ascent Developer Solutions (also backed by Oaktree) allocated a $400M construction debt facility specifically for TJH’s growth in California. This is not just access to capital—it is institutional certainty of capital, removing the financing bottleneck that constrains most small builders entering disaster recovery markets.</w:t>
      </w:r>
    </w:p>
    <w:p>
      <w:pPr>
        <w:pStyle w:val="Heading2"/>
        <w:spacing w:before="280" w:after="160"/>
      </w:pPr>
      <w:r>
        <w:rPr>
          <w:rFonts w:ascii="Arial" w:cs="Arial" w:eastAsia="Arial" w:hAnsi="Arial"/>
          <w:b/>
          <w:bCs/>
          <w:color w:val="2E5984"/>
          <w:sz w:val="24"/>
          <w:szCs w:val="24"/>
        </w:rPr>
        <w:t xml:space="preserve">1.6 Financial Structure &amp;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Strength</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PE backing (Oaktree) = patient capital + institutional debt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Preparing for IPO—public market discipline may constrain growth flexibility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350+ homes/yr = meaningful data flywheel for site selection</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Single-lot model inherently limits scale vs. multifamily developers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Fixed-price guarantee = massive competitive moat in BUILD channel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$650/SF guarantee requires tight cost control—one bad market or tariff spike compresses margins</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Five-market diversification reduces geographic concentration risk</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Entitlement delays in individual jurisdictions still create project-level risk</w:t>
            </w:r>
          </w:p>
        </w:tc>
      </w:tr>
    </w:tbl>
    <w:p>
      <w:pPr>
        <w:spacing w:before="200"/>
      </w:pPr>
    </w:p>
    <w:p>
      <w:pPr>
        <w:pBdr>
          <w:left w:val="single" w:color="27AE60" w:sz="6" w:space="6"/>
        </w:pBdr>
        <w:spacing w:before="80" w:after="100"/>
        <w:ind w:left="200"/>
      </w:pPr>
      <w:r>
        <w:rPr>
          <w:rFonts w:ascii="Arial" w:cs="Arial" w:eastAsia="Arial" w:hAnsi="Arial"/>
          <w:b/>
          <w:bCs/>
          <w:color w:val="27AE60"/>
          <w:sz w:val="20"/>
          <w:szCs w:val="20"/>
        </w:rPr>
        <w:t xml:space="preserve">SVDen TAKEAWAY: </w:t>
      </w:r>
      <w:r>
        <w:rPr>
          <w:rFonts w:ascii="Arial" w:cs="Arial" w:eastAsia="Arial" w:hAnsi="Arial"/>
          <w:color w:val="333333"/>
          <w:sz w:val="20"/>
          <w:szCs w:val="20"/>
        </w:rPr>
        <w:t xml:space="preserve">TJH validates that the replacement homebuilder model—demo and rebuild on infill lots in established neighborhoods—works at scale. Their BUILD channel is exactly what SVDen does at 1378 Longfellow and 595 Morey. The difference: TJH has systemized it with guaranteed pricing, 12-month timelines, and VR design studios. SVDen’s competitive edge is Nobilia kitchens, CFS/ICF structural innovation, and Bay Area-specific Chinese supply chain. The question is whether to remain boutique or attempt platform scale.</w:t>
      </w:r>
    </w:p>
    <w:p>
      <w:pPr>
        <w:sectPr>
          <w:pgSz w:w="12240" w:h="15840" w:orient="portrait"/>
          <w:pgMar w:top="1440" w:right="1440" w:bottom="1440" w:left="1440" w:header="708" w:footer="708" w:gutter="0"/>
          <w:pgNumType/>
          <w:docGrid w:linePitch="360"/>
        </w:sectPr>
      </w:pPr>
    </w:p>
    <w:p>
      <w:pPr>
        <w:pStyle w:val="Heading1"/>
        <w:pBdr>
          <w:bottom w:val="single" w:color="4A90D9" w:sz="4" w:space="4"/>
        </w:pBdr>
        <w:spacing w:before="360" w:after="200"/>
      </w:pPr>
      <w:r>
        <w:rPr>
          <w:rFonts w:ascii="Arial" w:cs="Arial" w:eastAsia="Arial" w:hAnsi="Arial"/>
          <w:b/>
          <w:bCs/>
          <w:color w:val="1B3A5C"/>
          <w:sz w:val="28"/>
          <w:szCs w:val="28"/>
        </w:rPr>
        <w:t xml:space="preserve">Case Study 2: Aro Homes</w:t>
      </w:r>
    </w:p>
    <w:p>
      <w:pPr>
        <w:spacing w:before="200" w:after="120"/>
      </w:pPr>
      <w:r>
        <w:rPr>
          <w:rFonts w:ascii="Arial" w:cs="Arial" w:eastAsia="Arial" w:hAnsi="Arial"/>
          <w:b/>
          <w:bCs/>
          <w:color w:val="2E5984"/>
          <w:sz w:val="22"/>
          <w:szCs w:val="22"/>
        </w:rPr>
        <w:t xml:space="preserve">The VC-Backed Prefab Startup That Learned From Katerra’s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HQ</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Capital Raised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2022 (incubated 2021)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Mountain View, 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$82.8M (Innovation Endeavors)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1,000 homes/yr</w:t>
            </w:r>
          </w:p>
        </w:tc>
      </w:tr>
    </w:tbl>
    <w:p>
      <w:pPr>
        <w:spacing w:before="200"/>
      </w:pPr>
    </w:p>
    <w:p>
      <w:pPr>
        <w:pStyle w:val="Heading2"/>
        <w:spacing w:before="280" w:after="160"/>
      </w:pPr>
      <w:r>
        <w:rPr>
          <w:rFonts w:ascii="Arial" w:cs="Arial" w:eastAsia="Arial" w:hAnsi="Arial"/>
          <w:b/>
          <w:bCs/>
          <w:color w:val="2E5984"/>
          <w:sz w:val="24"/>
          <w:szCs w:val="24"/>
        </w:rPr>
        <w:t xml:space="preserve">2.1 Business Model: Post-Katerra Discipline</w:t>
      </w:r>
    </w:p>
    <w:p>
      <w:pPr>
        <w:spacing w:after="120" w:line="276"/>
      </w:pPr>
      <w:r>
        <w:rPr>
          <w:rFonts w:ascii="Arial" w:cs="Arial" w:eastAsia="Arial" w:hAnsi="Arial"/>
          <w:color w:val="333333"/>
          <w:sz w:val="21"/>
          <w:szCs w:val="21"/>
        </w:rPr>
        <w:t xml:space="preserve">Aro Homes was incubated by Innovation Endeavors, the VC firm co-founded by former Google CEO Eric Schmidt, after nine months of internal research into why previous prefab ventures failed. The key insight: Katerra tried to be everything (supply chain, materials, manufacturing, GC, developer) at once. Aro chose to be one thing extremely well—a single-product, single-market replacement homebuilder using hybrid offsite/onsite construction.</w:t>
      </w:r>
    </w:p>
    <w:p>
      <w:pPr>
        <w:spacing w:after="120" w:line="276"/>
      </w:pPr>
      <w:r>
        <w:rPr>
          <w:rFonts w:ascii="Arial" w:cs="Arial" w:eastAsia="Arial" w:hAnsi="Arial"/>
          <w:color w:val="333333"/>
          <w:sz w:val="21"/>
          <w:szCs w:val="21"/>
        </w:rPr>
        <w:t xml:space="preserve">Aro builds one house: a 3,000-SF, four-bedroom, net-zero design by Olson Kundig, one of America’s most acclaimed residential architecture firms. The home is designed to be repeatable across multiple sites with minimal modification. Structural components are manufactured at a Sacramento factory, while site work (foundation, utility connections) happens in parallel—compressing the traditional 18-month timeline to 90–120 days.</w:t>
      </w:r>
    </w:p>
    <w:p>
      <w:pPr>
        <w:pStyle w:val="Heading2"/>
        <w:spacing w:before="280" w:after="160"/>
      </w:pPr>
      <w:r>
        <w:rPr>
          <w:rFonts w:ascii="Arial" w:cs="Arial" w:eastAsia="Arial" w:hAnsi="Arial"/>
          <w:b/>
          <w:bCs/>
          <w:color w:val="2E5984"/>
          <w:sz w:val="24"/>
          <w:szCs w:val="24"/>
        </w:rPr>
        <w:t xml:space="preserve">2.2 Strategic Design Choices</w:t>
      </w:r>
    </w:p>
    <w:p>
      <w:pPr>
        <w:spacing w:after="120" w:line="276"/>
      </w:pPr>
      <w:r>
        <w:rPr>
          <w:rFonts w:ascii="Arial" w:cs="Arial" w:eastAsia="Arial" w:hAnsi="Arial"/>
          <w:color w:val="333333"/>
          <w:sz w:val="21"/>
          <w:szCs w:val="21"/>
        </w:rPr>
        <w:t xml:space="preserve">Single Product, Infinite Sites: Like the automotive model, Aro has one “platform” that gets deployed to different “sites.” The home’s L-shaped roof was specifically designed so solar arrays achieve optimal exposure regardless of site orientation. This eliminates per-site design costs that destroy margin in custom homebuilding.</w:t>
      </w:r>
    </w:p>
    <w:p>
      <w:pPr>
        <w:spacing w:after="120" w:line="276"/>
      </w:pPr>
      <w:r>
        <w:rPr>
          <w:rFonts w:ascii="Arial" w:cs="Arial" w:eastAsia="Arial" w:hAnsi="Arial"/>
          <w:color w:val="333333"/>
          <w:sz w:val="21"/>
          <w:szCs w:val="21"/>
        </w:rPr>
        <w:t xml:space="preserve">Vertical Developer-Builder: Aro sources its own lots, permits its own homes, manufactures its own components, and sells directly to buyers. This eliminates the contracting process with a third-party builder—one of the biggest schedule delays in conventional construction. The company uses data-driven algorithms to optimize site selection for constructability, permitability, and salability simultaneously.</w:t>
      </w:r>
    </w:p>
    <w:p>
      <w:pPr>
        <w:spacing w:after="120" w:line="276"/>
      </w:pPr>
      <w:r>
        <w:rPr>
          <w:rFonts w:ascii="Arial" w:cs="Arial" w:eastAsia="Arial" w:hAnsi="Arial"/>
          <w:color w:val="333333"/>
          <w:sz w:val="21"/>
          <w:szCs w:val="21"/>
        </w:rPr>
        <w:t xml:space="preserve">Celebrity Architecture: Partnering with Olson Kundig is a deliberate brand play. The first home sold for $4.2M in Mountain View—validating that prefab can occupy the premium segment, not just the affordable/utilitarian market. The AIA California 2024 Design Award (Merit) provides institutional credibility.</w:t>
      </w:r>
    </w:p>
    <w:p>
      <w:pPr>
        <w:pStyle w:val="Heading2"/>
        <w:spacing w:before="280" w:after="160"/>
      </w:pPr>
      <w:r>
        <w:rPr>
          <w:rFonts w:ascii="Arial" w:cs="Arial" w:eastAsia="Arial" w:hAnsi="Arial"/>
          <w:b/>
          <w:bCs/>
          <w:color w:val="2E5984"/>
          <w:sz w:val="24"/>
          <w:szCs w:val="24"/>
        </w:rPr>
        <w:t xml:space="preserve">2.3 Technology &amp; AI Integration</w:t>
      </w:r>
    </w:p>
    <w:p>
      <w:pPr>
        <w:spacing w:after="120" w:line="276"/>
      </w:pPr>
      <w:r>
        <w:rPr>
          <w:rFonts w:ascii="Arial" w:cs="Arial" w:eastAsia="Arial" w:hAnsi="Arial"/>
          <w:color w:val="333333"/>
          <w:sz w:val="21"/>
          <w:szCs w:val="21"/>
        </w:rPr>
        <w:t xml:space="preserve">Aro represents the highest level of AI integration among the surviving builders. Their technology stack spans the full development lifecycle. At the site selection stage, proprietary algorithms analyze lots for zoning compatibility, construction feasibility, and market demand simultaneously. This is the “digital twin” approach—a 3D model of every home supports rapid design iteration before manufacturing begins. The permitting process is streamlined through a standardized prototype that has been pre-engineered for California code compliance, reducing plan check cycles.</w:t>
      </w:r>
    </w:p>
    <w:p>
      <w:pPr>
        <w:spacing w:after="120" w:line="276"/>
      </w:pPr>
      <w:r>
        <w:rPr>
          <w:rFonts w:ascii="Arial" w:cs="Arial" w:eastAsia="Arial" w:hAnsi="Arial"/>
          <w:color w:val="333333"/>
          <w:sz w:val="21"/>
          <w:szCs w:val="21"/>
        </w:rPr>
        <w:t xml:space="preserve">The factory in Sacramento uses precision engineering for volumetric construction—modules are fabricated to tolerances impossible in field construction. Because Aro owns its consumer demand data (direct-to-buyer model), it can forecast production schedules and optimize factory utilization without waiting for orders.</w:t>
      </w:r>
    </w:p>
    <w:p>
      <w:pPr>
        <w:pStyle w:val="Heading2"/>
        <w:spacing w:before="280" w:after="160"/>
      </w:pPr>
      <w:r>
        <w:rPr>
          <w:rFonts w:ascii="Arial" w:cs="Arial" w:eastAsia="Arial" w:hAnsi="Arial"/>
          <w:b/>
          <w:bCs/>
          <w:color w:val="2E5984"/>
          <w:sz w:val="24"/>
          <w:szCs w:val="24"/>
        </w:rPr>
        <w:t xml:space="preserve">2.4 Financial Model &amp;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Why It Could Win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Why It Could Fail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Single-product focus = manufacturing efficiency + brand clarity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$4.2M price point limits addressable market; scaling requires price compression</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90-day delivery = 3x faster capital recycling vs. conventional builders</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$82.8M raised with limited revenue—still burning VC capital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Innovation Endeavors backing = long-horizon capital + tech ecosystem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Sacramento factory is single point of failure; no geographic redundancy</w:t>
            </w:r>
          </w:p>
        </w:tc>
      </w:tr>
      <w:tr>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Net-zero/carbon-negative = regulatory tailwind + ESG buyer premium</w:t>
            </w:r>
          </w:p>
        </w:tc>
        <w:tc>
          <w:tcPr>
            <w:tcW w:type="dxa" w:w="46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1,000 homes/yr target requires exponential scaling from current ~10-20/yr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LA wildfire rebuild market = massive expansion opportunity (announced)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Entering new markets means new codes, new permitting relationships, new factory logistics</w:t>
            </w:r>
          </w:p>
        </w:tc>
      </w:tr>
    </w:tbl>
    <w:p>
      <w:pPr>
        <w:spacing w:before="200"/>
      </w:pPr>
    </w:p>
    <w:p>
      <w:pPr>
        <w:pBdr>
          <w:left w:val="single" w:color="4A90D9" w:sz="6" w:space="6"/>
        </w:pBdr>
        <w:spacing w:before="80" w:after="100"/>
        <w:ind w:left="200"/>
      </w:pPr>
      <w:r>
        <w:rPr>
          <w:rFonts w:ascii="Arial" w:cs="Arial" w:eastAsia="Arial" w:hAnsi="Arial"/>
          <w:b/>
          <w:bCs/>
          <w:color w:val="2E5984"/>
          <w:sz w:val="20"/>
          <w:szCs w:val="20"/>
        </w:rPr>
        <w:t xml:space="preserve">KEY METRIC: </w:t>
      </w:r>
      <w:r>
        <w:rPr>
          <w:rFonts w:ascii="Arial" w:cs="Arial" w:eastAsia="Arial" w:hAnsi="Arial"/>
          <w:i/>
          <w:iCs/>
          <w:color w:val="666666"/>
          <w:sz w:val="20"/>
          <w:szCs w:val="20"/>
        </w:rPr>
        <w:t xml:space="preserve">Aro claims 3x the margins of a normal builder through process parallelization and compressed timelines. If true, this fundamentally changes the ROIC math—a project that earns 15% margin in 18 months earns the same nominal profit as one earning 15% in 90 days, but the annualized return is 6x higher.</w:t>
      </w:r>
    </w:p>
    <w:p>
      <w:pPr>
        <w:pBdr>
          <w:left w:val="single" w:color="27AE60" w:sz="6" w:space="6"/>
        </w:pBdr>
        <w:spacing w:before="80" w:after="100"/>
        <w:ind w:left="200"/>
      </w:pPr>
      <w:r>
        <w:rPr>
          <w:rFonts w:ascii="Arial" w:cs="Arial" w:eastAsia="Arial" w:hAnsi="Arial"/>
          <w:b/>
          <w:bCs/>
          <w:color w:val="27AE60"/>
          <w:sz w:val="20"/>
          <w:szCs w:val="20"/>
        </w:rPr>
        <w:t xml:space="preserve">SVDen TAKEAWAY: </w:t>
      </w:r>
      <w:r>
        <w:rPr>
          <w:rFonts w:ascii="Arial" w:cs="Arial" w:eastAsia="Arial" w:hAnsi="Arial"/>
          <w:color w:val="333333"/>
          <w:sz w:val="20"/>
          <w:szCs w:val="20"/>
        </w:rPr>
        <w:t xml:space="preserve">Aro is the closest competitor to SVDen’s vision—a tech-enabled, design-forward, Bay Area replacement homebuilder. The critical difference: Aro uses VC capital and a single standardized design; SVDen uses operational cash flow and custom designs with Nobilia/CFS differentiation. Aro’s weakness is that it cannot customize; SVDen’s weakness is that it cannot yet scale. The convergence opportunity: adopt Aro’s process parallelization and data-driven site selection while maintaining SVDen’s design flexibility and international supply chain advantage.</w:t>
      </w:r>
    </w:p>
    <w:p>
      <w:pPr>
        <w:sectPr>
          <w:pgSz w:w="12240" w:h="15840" w:orient="portrait"/>
          <w:pgMar w:top="1440" w:right="1440" w:bottom="1440" w:left="1440" w:header="708" w:footer="708" w:gutter="0"/>
          <w:pgNumType/>
          <w:docGrid w:linePitch="360"/>
        </w:sectPr>
      </w:pPr>
    </w:p>
    <w:p>
      <w:pPr>
        <w:pStyle w:val="Heading1"/>
        <w:pBdr>
          <w:bottom w:val="single" w:color="4A90D9" w:sz="4" w:space="4"/>
        </w:pBdr>
        <w:spacing w:before="360" w:after="200"/>
      </w:pPr>
      <w:r>
        <w:rPr>
          <w:rFonts w:ascii="Arial" w:cs="Arial" w:eastAsia="Arial" w:hAnsi="Arial"/>
          <w:b/>
          <w:bCs/>
          <w:color w:val="1B3A5C"/>
          <w:sz w:val="28"/>
          <w:szCs w:val="28"/>
        </w:rPr>
        <w:t xml:space="preserve">Case Study 3: Livio Building Systems</w:t>
      </w:r>
    </w:p>
    <w:p>
      <w:pPr>
        <w:spacing w:before="200" w:after="120"/>
      </w:pPr>
      <w:r>
        <w:rPr>
          <w:rFonts w:ascii="Arial" w:cs="Arial" w:eastAsia="Arial" w:hAnsi="Arial"/>
          <w:b/>
          <w:bCs/>
          <w:color w:val="2E5984"/>
          <w:sz w:val="22"/>
          <w:szCs w:val="22"/>
        </w:rPr>
        <w:t xml:space="preserve">The India-to-California CFS Panel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HQ</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Manufacturing</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~2020 (Aron Developers)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Los Altos, 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Pune, India (100+ engineers)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Series Seed</w:t>
            </w:r>
          </w:p>
        </w:tc>
      </w:tr>
    </w:tbl>
    <w:p>
      <w:pPr>
        <w:spacing w:before="200"/>
      </w:pPr>
    </w:p>
    <w:p>
      <w:pPr>
        <w:pStyle w:val="Heading2"/>
        <w:spacing w:before="280" w:after="160"/>
      </w:pPr>
      <w:r>
        <w:rPr>
          <w:rFonts w:ascii="Arial" w:cs="Arial" w:eastAsia="Arial" w:hAnsi="Arial"/>
          <w:b/>
          <w:bCs/>
          <w:color w:val="2E5984"/>
          <w:sz w:val="24"/>
          <w:szCs w:val="24"/>
        </w:rPr>
        <w:t xml:space="preserve">3.1 Business Model: Component Supply, Not Full-Stack</w:t>
      </w:r>
    </w:p>
    <w:p>
      <w:pPr>
        <w:spacing w:after="120" w:line="276"/>
      </w:pPr>
      <w:r>
        <w:rPr>
          <w:rFonts w:ascii="Arial" w:cs="Arial" w:eastAsia="Arial" w:hAnsi="Arial"/>
          <w:color w:val="333333"/>
          <w:sz w:val="21"/>
          <w:szCs w:val="21"/>
        </w:rPr>
        <w:t xml:space="preserve">Livio is the anti-Katerra. Rather than trying to own the entire construction value chain, Livio occupies a single strategic chokepoint: pre-assembled cold-formed steel (CFS) wall, floor, and roof panels manufactured in India and shipped to California job sites. Their “Lego-like” composite panels integrate CFS framing with fiber-reinforced cement board, arriving ready for erection. A two-story structure can be framed in under a day.</w:t>
      </w:r>
    </w:p>
    <w:p>
      <w:pPr>
        <w:spacing w:after="120" w:line="276"/>
      </w:pPr>
      <w:r>
        <w:rPr>
          <w:rFonts w:ascii="Arial" w:cs="Arial" w:eastAsia="Arial" w:hAnsi="Arial"/>
          <w:color w:val="333333"/>
          <w:sz w:val="21"/>
          <w:szCs w:val="21"/>
        </w:rPr>
        <w:t xml:space="preserve">The parent entity, Aron Developers, has successfully built and sold custom homes in Silicon Valley, providing both the real-world construction expertise and the initial customer pipeline. Livio’s B2B model sells panels to contractors and builders—not directly to homeowners—which makes it a platform component supplier rather than a competing builder.</w:t>
      </w:r>
    </w:p>
    <w:p>
      <w:pPr>
        <w:pStyle w:val="Heading2"/>
        <w:spacing w:before="280" w:after="160"/>
      </w:pPr>
      <w:r>
        <w:rPr>
          <w:rFonts w:ascii="Arial" w:cs="Arial" w:eastAsia="Arial" w:hAnsi="Arial"/>
          <w:b/>
          <w:bCs/>
          <w:color w:val="2E5984"/>
          <w:sz w:val="24"/>
          <w:szCs w:val="24"/>
        </w:rPr>
        <w:t xml:space="preserve">3.2 Unit Economics: The India Arbitrage</w:t>
      </w:r>
    </w:p>
    <w:p>
      <w:pPr>
        <w:spacing w:after="120" w:line="276"/>
      </w:pPr>
      <w:r>
        <w:rPr>
          <w:rFonts w:ascii="Arial" w:cs="Arial" w:eastAsia="Arial" w:hAnsi="Arial"/>
          <w:color w:val="333333"/>
          <w:sz w:val="21"/>
          <w:szCs w:val="21"/>
        </w:rPr>
        <w:t xml:space="preserve">Livio’s most compelling metric is its claimed 75% gross margin on panel sales, driven by 100% manufacturing in India with zero US tariffs on Indian steel products. This contrasts sharply with Chinese suppliers facing 50%+ tariffs. The value proposition to US contractors: 75% reduction in on-site labor hours and approximately 50% savings in total labor cost per project.</w:t>
      </w:r>
    </w:p>
    <w:p>
      <w:pPr>
        <w:spacing w:after="120" w:line="276"/>
      </w:pPr>
      <w:r>
        <w:rPr>
          <w:rFonts w:ascii="Arial" w:cs="Arial" w:eastAsia="Arial" w:hAnsi="Arial"/>
          <w:color w:val="333333"/>
          <w:sz w:val="21"/>
          <w:szCs w:val="21"/>
        </w:rPr>
        <w:t xml:space="preserve">The engineering team of 100+ in Pune handles BIM modeling (Revit), structural engineering, Dynamo scripting for automated design, and fabrication drawings. This offshore engineering capacity allows Livio to offer design-to-fabrication services at a fraction of US engineering costs. Their certifications (UES, Florida state, LA County, with Miami-Dade hurricane rating pending) create a regulatory moat—each new certification takes months to obtain and is not easily replicated.</w:t>
      </w:r>
    </w:p>
    <w:p>
      <w:pPr>
        <w:pStyle w:val="Heading2"/>
        <w:spacing w:before="280" w:after="160"/>
      </w:pPr>
      <w:r>
        <w:rPr>
          <w:rFonts w:ascii="Arial" w:cs="Arial" w:eastAsia="Arial" w:hAnsi="Arial"/>
          <w:b/>
          <w:bCs/>
          <w:color w:val="2E5984"/>
          <w:sz w:val="24"/>
          <w:szCs w:val="24"/>
        </w:rPr>
        <w:t xml:space="preserve">3.3 Technology Integration</w:t>
      </w:r>
    </w:p>
    <w:p>
      <w:pPr>
        <w:spacing w:after="120" w:line="276"/>
      </w:pPr>
      <w:r>
        <w:rPr>
          <w:rFonts w:ascii="Arial" w:cs="Arial" w:eastAsia="Arial" w:hAnsi="Arial"/>
          <w:color w:val="333333"/>
          <w:sz w:val="21"/>
          <w:szCs w:val="21"/>
        </w:rPr>
        <w:t xml:space="preserve">Livio’s tech stack centers on BIM-to-fabrication automation. Revit models with Dynamo scripting generate panel specifications that flow directly to Indian fabrication facilities. 360-degree on-site cameras, drone footage, and weekly project reports provide real-time visibility to remote clients. The Gen 2.1 wall system integrates structural shear, 2-hour fire rating, and waterproofing readiness into a single composite panel.</w:t>
      </w:r>
    </w:p>
    <w:p>
      <w:pPr>
        <w:pStyle w:val="Heading2"/>
        <w:spacing w:before="280" w:after="160"/>
      </w:pPr>
      <w:r>
        <w:rPr>
          <w:rFonts w:ascii="Arial" w:cs="Arial" w:eastAsia="Arial" w:hAnsi="Arial"/>
          <w:b/>
          <w:bCs/>
          <w:color w:val="2E5984"/>
          <w:sz w:val="24"/>
          <w:szCs w:val="24"/>
        </w:rPr>
        <w:t xml:space="preserve">3.4 Risk Factors</w:t>
      </w:r>
    </w:p>
    <w:p>
      <w:pPr>
        <w:pBdr>
          <w:left w:val="single" w:color="C0392B" w:sz="6" w:space="6"/>
        </w:pBdr>
        <w:spacing w:before="80" w:after="100"/>
        <w:ind w:left="200"/>
      </w:pPr>
      <w:r>
        <w:rPr>
          <w:rFonts w:ascii="Arial" w:cs="Arial" w:eastAsia="Arial" w:hAnsi="Arial"/>
          <w:b/>
          <w:bCs/>
          <w:color w:val="C0392B"/>
          <w:sz w:val="20"/>
          <w:szCs w:val="20"/>
        </w:rPr>
        <w:t xml:space="preserve">LICENSE STATUS: </w:t>
      </w:r>
      <w:r>
        <w:rPr>
          <w:rFonts w:ascii="Arial" w:cs="Arial" w:eastAsia="Arial" w:hAnsi="Arial"/>
          <w:color w:val="333333"/>
          <w:sz w:val="20"/>
          <w:szCs w:val="20"/>
        </w:rPr>
        <w:t xml:space="preserve">As of November 2025, Livio’s California GC license (#1099549) was suspended per the CSLB database. This is a critical operational risk. A suspended license means Livio cannot legally operate as a general contractor in California. The suspension may be administrative (bond/insurance lapse) or substantive—either way, it needs resolution before any partnership consideration.</w:t>
      </w:r>
    </w:p>
    <w:p>
      <w:pPr>
        <w:pBdr>
          <w:left w:val="single" w:color="C0392B" w:sz="6" w:space="6"/>
        </w:pBdr>
        <w:spacing w:before="80" w:after="100"/>
        <w:ind w:left="200"/>
      </w:pPr>
      <w:r>
        <w:rPr>
          <w:rFonts w:ascii="Arial" w:cs="Arial" w:eastAsia="Arial" w:hAnsi="Arial"/>
          <w:b/>
          <w:bCs/>
          <w:color w:val="C0392B"/>
          <w:sz w:val="20"/>
          <w:szCs w:val="20"/>
        </w:rPr>
        <w:t xml:space="preserve">SINGLE-MARKET DEPENDENCY: </w:t>
      </w:r>
      <w:r>
        <w:rPr>
          <w:rFonts w:ascii="Arial" w:cs="Arial" w:eastAsia="Arial" w:hAnsi="Arial"/>
          <w:color w:val="333333"/>
          <w:sz w:val="20"/>
          <w:szCs w:val="20"/>
        </w:rPr>
        <w:t xml:space="preserve">Currently concentrated in Bay Area with 12 permitted projects. Expansion plan targets Texas and Florida but requires separate certifications and logistics infrastructure.</w:t>
      </w:r>
    </w:p>
    <w:p>
      <w:pPr>
        <w:pBdr>
          <w:left w:val="single" w:color="C0392B" w:sz="6" w:space="6"/>
        </w:pBdr>
        <w:spacing w:before="80" w:after="100"/>
        <w:ind w:left="200"/>
      </w:pPr>
      <w:r>
        <w:rPr>
          <w:rFonts w:ascii="Arial" w:cs="Arial" w:eastAsia="Arial" w:hAnsi="Arial"/>
          <w:b/>
          <w:bCs/>
          <w:color w:val="C0392B"/>
          <w:sz w:val="20"/>
          <w:szCs w:val="20"/>
        </w:rPr>
        <w:t xml:space="preserve">QUALITY CONTROL AT DISTANCE: </w:t>
      </w:r>
      <w:r>
        <w:rPr>
          <w:rFonts w:ascii="Arial" w:cs="Arial" w:eastAsia="Arial" w:hAnsi="Arial"/>
          <w:color w:val="333333"/>
          <w:sz w:val="20"/>
          <w:szCs w:val="20"/>
        </w:rPr>
        <w:t xml:space="preserve">Manufacturing 8,000+ miles from job sites creates QC risk. Shipping damage, dimensional tolerance issues, and MEP coordination gaps are common failure modes in offshore prefab supply chains.</w:t>
      </w:r>
    </w:p>
    <w:p>
      <w:pPr>
        <w:spacing w:before="200"/>
      </w:pPr>
    </w:p>
    <w:p>
      <w:pPr>
        <w:pBdr>
          <w:left w:val="single" w:color="27AE60" w:sz="6" w:space="6"/>
        </w:pBdr>
        <w:spacing w:before="80" w:after="100"/>
        <w:ind w:left="200"/>
      </w:pPr>
      <w:r>
        <w:rPr>
          <w:rFonts w:ascii="Arial" w:cs="Arial" w:eastAsia="Arial" w:hAnsi="Arial"/>
          <w:b/>
          <w:bCs/>
          <w:color w:val="27AE60"/>
          <w:sz w:val="20"/>
          <w:szCs w:val="20"/>
        </w:rPr>
        <w:t xml:space="preserve">SVDen TAKEAWAY: </w:t>
      </w:r>
      <w:r>
        <w:rPr>
          <w:rFonts w:ascii="Arial" w:cs="Arial" w:eastAsia="Arial" w:hAnsi="Arial"/>
          <w:color w:val="333333"/>
          <w:sz w:val="20"/>
          <w:szCs w:val="20"/>
        </w:rPr>
        <w:t xml:space="preserve">Livio is directly relevant to SVDen’s CFS expertise and international supply chain strategy. The India manufacturing + zero tariffs angle is a potential advantage over Chinese suppliers facing 50%+ tariffs. However, the suspended license is a red flag that must be investigated before any partnership. The component-supply model (panels, not whole buildings) is the right approach—it avoids Katerra’s full-stack trap while still capturing manufacturing efficiency. SVDen should evaluate whether Livio panels could supplement or replace Chinese CFS sourcing for specific projects where tariff exposure is a concern.</w:t>
      </w:r>
    </w:p>
    <w:p>
      <w:pPr>
        <w:sectPr>
          <w:pgSz w:w="12240" w:h="15840" w:orient="portrait"/>
          <w:pgMar w:top="1440" w:right="1440" w:bottom="1440" w:left="1440" w:header="708" w:footer="708" w:gutter="0"/>
          <w:pgNumType/>
          <w:docGrid w:linePitch="360"/>
        </w:sectPr>
      </w:pPr>
    </w:p>
    <w:p>
      <w:pPr>
        <w:pStyle w:val="Heading1"/>
        <w:pBdr>
          <w:bottom w:val="single" w:color="4A90D9" w:sz="4" w:space="4"/>
        </w:pBdr>
        <w:spacing w:before="360" w:after="200"/>
      </w:pPr>
      <w:r>
        <w:rPr>
          <w:rFonts w:ascii="Arial" w:cs="Arial" w:eastAsia="Arial" w:hAnsi="Arial"/>
          <w:b/>
          <w:bCs/>
          <w:color w:val="1B3A5C"/>
          <w:sz w:val="28"/>
          <w:szCs w:val="28"/>
        </w:rPr>
        <w:t xml:space="preserve">Case Study 4: Veev — Post-Mortem</w:t>
      </w:r>
    </w:p>
    <w:p>
      <w:pPr>
        <w:spacing w:before="200" w:after="120"/>
      </w:pPr>
      <w:r>
        <w:rPr>
          <w:rFonts w:ascii="Arial" w:cs="Arial" w:eastAsia="Arial" w:hAnsi="Arial"/>
          <w:b/>
          <w:bCs/>
          <w:color w:val="2E5984"/>
          <w:sz w:val="22"/>
          <w:szCs w:val="22"/>
        </w:rPr>
        <w:t xml:space="preserve">$600M Burned: The Cautionary Tale of Full-Stack Prefab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Capital Raised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Peak Valuation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2008 (Israel)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$600M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$1B (unicorn, 2022)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Nov 2023 (liquidated)</w:t>
            </w:r>
          </w:p>
        </w:tc>
      </w:tr>
    </w:tbl>
    <w:p>
      <w:pPr>
        <w:spacing w:before="200"/>
      </w:pPr>
    </w:p>
    <w:p>
      <w:pPr>
        <w:pStyle w:val="Heading2"/>
        <w:spacing w:before="280" w:after="160"/>
      </w:pPr>
      <w:r>
        <w:rPr>
          <w:rFonts w:ascii="Arial" w:cs="Arial" w:eastAsia="Arial" w:hAnsi="Arial"/>
          <w:b/>
          <w:bCs/>
          <w:color w:val="2E5984"/>
          <w:sz w:val="24"/>
          <w:szCs w:val="24"/>
        </w:rPr>
        <w:t xml:space="preserve">4.1 What Veev Built</w:t>
      </w:r>
    </w:p>
    <w:p>
      <w:pPr>
        <w:spacing w:after="120" w:line="276"/>
      </w:pPr>
      <w:r>
        <w:rPr>
          <w:rFonts w:ascii="Arial" w:cs="Arial" w:eastAsia="Arial" w:hAnsi="Arial"/>
          <w:color w:val="333333"/>
          <w:sz w:val="21"/>
          <w:szCs w:val="21"/>
        </w:rPr>
        <w:t xml:space="preserve">Veev was the most technologically ambitious residential construction company in California history. It developed a proprietary panelized building system with digital fabrication, proprietary materials (light gauge steel framing, a nano-bead High Performance Surface coating replacing stucco/tile/stone), helical pile foundations (replacing concrete), and a semiconductor-style “Digital Fab” factory in Union City. A team of five workers could assemble a complete home in four weeks. The homes were beautiful, technologically advanced, and genuinely innovative.</w:t>
      </w:r>
    </w:p>
    <w:p>
      <w:pPr>
        <w:pStyle w:val="Heading2"/>
        <w:spacing w:before="280" w:after="160"/>
      </w:pPr>
      <w:r>
        <w:rPr>
          <w:rFonts w:ascii="Arial" w:cs="Arial" w:eastAsia="Arial" w:hAnsi="Arial"/>
          <w:b/>
          <w:bCs/>
          <w:color w:val="2E5984"/>
          <w:sz w:val="24"/>
          <w:szCs w:val="24"/>
        </w:rPr>
        <w:t xml:space="preserve">4.2 Why Veev Died: Five Root Causes</w:t>
      </w:r>
    </w:p>
    <w:p>
      <w:pPr>
        <w:spacing w:after="120" w:line="276"/>
      </w:pPr>
      <w:r>
        <w:rPr>
          <w:rFonts w:ascii="Arial" w:cs="Arial" w:eastAsia="Arial" w:hAnsi="Arial"/>
          <w:color w:val="333333"/>
          <w:sz w:val="21"/>
          <w:szCs w:val="21"/>
        </w:rPr>
        <w:t xml:space="preserve">First, capital structure mismatch. Veev raised $600M in VC expecting rapid scaling, but residential construction in California’s regulatory environment does not scale on VC timelines. Entitlement delays, NIMBYism, and plan check cycles cannot be compressed by writing bigger checks.</w:t>
      </w:r>
    </w:p>
    <w:p>
      <w:pPr>
        <w:spacing w:after="120" w:line="276"/>
      </w:pPr>
      <w:r>
        <w:rPr>
          <w:rFonts w:ascii="Arial" w:cs="Arial" w:eastAsia="Arial" w:hAnsi="Arial"/>
          <w:color w:val="333333"/>
          <w:sz w:val="21"/>
          <w:szCs w:val="21"/>
        </w:rPr>
        <w:t xml:space="preserve">Second, full vertical integration with real estate balance sheet risk. Veev simultaneously owned a factory, developed proprietary materials, AND acquired California real estate with debt. When California home prices declined and interest rates rose in 2022–2023, Veev was caught holding depreciating assets funded by debt it couldn’t service. It stopped making interest payments to lenders.</w:t>
      </w:r>
    </w:p>
    <w:p>
      <w:pPr>
        <w:spacing w:after="120" w:line="276"/>
      </w:pPr>
      <w:r>
        <w:rPr>
          <w:rFonts w:ascii="Arial" w:cs="Arial" w:eastAsia="Arial" w:hAnsi="Arial"/>
          <w:color w:val="333333"/>
          <w:sz w:val="21"/>
          <w:szCs w:val="21"/>
        </w:rPr>
        <w:t xml:space="preserve">Third, the pivot whiplash. Veev raised $400M for high-rise modular, then pivoted to single-family within months—laying off 30% of staff. This destroyed investor confidence and organizational focus simultaneously.</w:t>
      </w:r>
    </w:p>
    <w:p>
      <w:pPr>
        <w:spacing w:after="120" w:line="276"/>
      </w:pPr>
      <w:r>
        <w:rPr>
          <w:rFonts w:ascii="Arial" w:cs="Arial" w:eastAsia="Arial" w:hAnsi="Arial"/>
          <w:color w:val="333333"/>
          <w:sz w:val="21"/>
          <w:szCs w:val="21"/>
        </w:rPr>
        <w:t xml:space="preserve">Fourth, materials R&amp;D burned capital without revenue. The proprietary HPS nano-coating and LGS framing system required years of development. While technologically superior, these materials had no secondary market and no standardization. If Veev died—which it did—the materials system died with it. Compare this to TJH, which uses standard materials available from any supplier.</w:t>
      </w:r>
    </w:p>
    <w:p>
      <w:pPr>
        <w:spacing w:after="120" w:line="276"/>
      </w:pPr>
      <w:r>
        <w:rPr>
          <w:rFonts w:ascii="Arial" w:cs="Arial" w:eastAsia="Arial" w:hAnsi="Arial"/>
          <w:color w:val="333333"/>
          <w:sz w:val="21"/>
          <w:szCs w:val="21"/>
        </w:rPr>
        <w:t xml:space="preserve">Fifth, dual-geography complexity. Operating R&amp;D in Israel while manufacturing and selling in California created coordination overhead that compounded every other problem. When funding collapsed, the Israel team was stranded.</w:t>
      </w:r>
    </w:p>
    <w:p>
      <w:pPr>
        <w:pStyle w:val="Heading2"/>
        <w:spacing w:before="280" w:after="160"/>
      </w:pPr>
      <w:r>
        <w:rPr>
          <w:rFonts w:ascii="Arial" w:cs="Arial" w:eastAsia="Arial" w:hAnsi="Arial"/>
          <w:b/>
          <w:bCs/>
          <w:color w:val="2E5984"/>
          <w:sz w:val="24"/>
          <w:szCs w:val="24"/>
        </w:rPr>
        <w:t xml:space="preserve">4.3 The Killer Metric</w:t>
      </w:r>
    </w:p>
    <w:p>
      <w:pPr>
        <w:pBdr>
          <w:left w:val="single" w:color="C0392B" w:sz="6" w:space="6"/>
        </w:pBdr>
        <w:spacing w:before="80" w:after="100"/>
        <w:ind w:left="200"/>
      </w:pPr>
      <w:r>
        <w:rPr>
          <w:rFonts w:ascii="Arial" w:cs="Arial" w:eastAsia="Arial" w:hAnsi="Arial"/>
          <w:b/>
          <w:bCs/>
          <w:color w:val="C0392B"/>
          <w:sz w:val="20"/>
          <w:szCs w:val="20"/>
        </w:rPr>
        <w:t xml:space="preserve">BURN RATE vs. REVENUE: </w:t>
      </w:r>
      <w:r>
        <w:rPr>
          <w:rFonts w:ascii="Arial" w:cs="Arial" w:eastAsia="Arial" w:hAnsi="Arial"/>
          <w:color w:val="333333"/>
          <w:sz w:val="20"/>
          <w:szCs w:val="20"/>
        </w:rPr>
        <w:t xml:space="preserve">Veev raised $600M and built approximately 170 homes. That is roughly $3.5M in capital consumed per home delivered—before considering the sale price of those homes. For comparison, TJH builds 350+ homes per year with PE-efficient capital and generates real revenue. The VC model requires exponential scaling to justify the burn; Veev never achieved escape velocity.</w:t>
      </w:r>
    </w:p>
    <w:p>
      <w:pPr>
        <w:spacing w:before="300"/>
      </w:pPr>
    </w:p>
    <w:p>
      <w:pPr>
        <w:pStyle w:val="Heading1"/>
        <w:pBdr>
          <w:bottom w:val="single" w:color="4A90D9" w:sz="4" w:space="4"/>
        </w:pBdr>
        <w:spacing w:before="360" w:after="200"/>
      </w:pPr>
      <w:r>
        <w:rPr>
          <w:rFonts w:ascii="Arial" w:cs="Arial" w:eastAsia="Arial" w:hAnsi="Arial"/>
          <w:b/>
          <w:bCs/>
          <w:color w:val="1B3A5C"/>
          <w:sz w:val="28"/>
          <w:szCs w:val="28"/>
        </w:rPr>
        <w:t xml:space="preserve">Case Study 5: Katerra — Post-Mortem</w:t>
      </w:r>
    </w:p>
    <w:p>
      <w:pPr>
        <w:spacing w:before="200" w:after="120"/>
      </w:pPr>
      <w:r>
        <w:rPr>
          <w:rFonts w:ascii="Arial" w:cs="Arial" w:eastAsia="Arial" w:hAnsi="Arial"/>
          <w:b/>
          <w:bCs/>
          <w:color w:val="2E5984"/>
          <w:sz w:val="22"/>
          <w:szCs w:val="22"/>
        </w:rPr>
        <w:t xml:space="preserve">$2.4B Destroyed: The SoftBank-Fueled Supply Chain Fantasy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Capital Raised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Peak Employees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Died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2015 (Menlo Park, 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$2.4B (SoftBank)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~8,000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June 2021 (Chapter 7)</w:t>
            </w:r>
          </w:p>
        </w:tc>
      </w:tr>
    </w:tbl>
    <w:p>
      <w:pPr>
        <w:spacing w:before="200"/>
      </w:pPr>
    </w:p>
    <w:p>
      <w:pPr>
        <w:pStyle w:val="Heading2"/>
        <w:spacing w:before="280" w:after="160"/>
      </w:pPr>
      <w:r>
        <w:rPr>
          <w:rFonts w:ascii="Arial" w:cs="Arial" w:eastAsia="Arial" w:hAnsi="Arial"/>
          <w:b/>
          <w:bCs/>
          <w:color w:val="2E5984"/>
          <w:sz w:val="24"/>
          <w:szCs w:val="24"/>
        </w:rPr>
        <w:t xml:space="preserve">5.1 The Thesis That Killed Katerra</w:t>
      </w:r>
    </w:p>
    <w:p>
      <w:pPr>
        <w:spacing w:after="120" w:line="276"/>
      </w:pPr>
      <w:r>
        <w:rPr>
          <w:rFonts w:ascii="Arial" w:cs="Arial" w:eastAsia="Arial" w:hAnsi="Arial"/>
          <w:color w:val="333333"/>
          <w:sz w:val="21"/>
          <w:szCs w:val="21"/>
        </w:rPr>
        <w:t xml:space="preserve">Katerra’s thesis was seductive: own the entire construction supply chain end-to-end—architectural design, materials procurement, factory manufacturing, and general contracting—and use software to orchestrate it all. In theory, this eliminates every margin layer between raw material and finished building. In practice, it meant simultaneously building a design firm, a supply chain company, a materials manufacturer, a software platform, AND a general contractor, all at once, on SoftBank’s timeline.</w:t>
      </w:r>
    </w:p>
    <w:p>
      <w:pPr>
        <w:spacing w:after="120" w:line="276"/>
      </w:pPr>
      <w:r>
        <w:rPr>
          <w:rFonts w:ascii="Arial" w:cs="Arial" w:eastAsia="Arial" w:hAnsi="Arial"/>
          <w:color w:val="333333"/>
          <w:sz w:val="21"/>
          <w:szCs w:val="21"/>
        </w:rPr>
        <w:t xml:space="preserve">The company acquired architecture firms (Michael Green Architecture), CLT manufacturing plants, and expanded into international markets (India, Saudi Arabia) before proving the model worked in a single market. At its peak, Katerra had 8,000 employees across multiple countries. It filed for Chapter 7 liquidation in June 2021 after burning through $2.4B.</w:t>
      </w:r>
    </w:p>
    <w:p>
      <w:pPr>
        <w:pStyle w:val="Heading2"/>
        <w:spacing w:before="280" w:after="160"/>
      </w:pPr>
      <w:r>
        <w:rPr>
          <w:rFonts w:ascii="Arial" w:cs="Arial" w:eastAsia="Arial" w:hAnsi="Arial"/>
          <w:b/>
          <w:bCs/>
          <w:color w:val="2E5984"/>
          <w:sz w:val="24"/>
          <w:szCs w:val="24"/>
        </w:rPr>
        <w:t xml:space="preserve">5.2 Katerra vs. Veev: The Common Thread</w:t>
      </w:r>
    </w:p>
    <w:p>
      <w:pPr>
        <w:spacing w:after="120" w:line="276"/>
      </w:pPr>
      <w:r>
        <w:rPr>
          <w:rFonts w:ascii="Arial" w:cs="Arial" w:eastAsia="Arial" w:hAnsi="Arial"/>
          <w:color w:val="333333"/>
          <w:sz w:val="21"/>
          <w:szCs w:val="21"/>
        </w:rPr>
        <w:t xml:space="preserve">Both companies shared the same fatal assumption: that construction can be disrupted the way software disrupts media or commerce. Construction is fundamentally different because it operates at the intersection of local regulation (permits are issued by 39,000 different jurisdictions in the US), physical materials (which have weight, shipping cost, and breakage risk), skilled labor (which cannot be automated overnight), and real estate markets (which are cyclical and local). No amount of capital can compress these frictions to zero.</w:t>
      </w:r>
    </w:p>
    <w:p>
      <w:pPr>
        <w:pBdr>
          <w:left w:val="single" w:color="C0392B" w:sz="6" w:space="6"/>
        </w:pBdr>
        <w:spacing w:before="80" w:after="100"/>
        <w:ind w:left="200"/>
      </w:pPr>
      <w:r>
        <w:rPr>
          <w:rFonts w:ascii="Arial" w:cs="Arial" w:eastAsia="Arial" w:hAnsi="Arial"/>
          <w:b/>
          <w:bCs/>
          <w:color w:val="C0392B"/>
          <w:sz w:val="20"/>
          <w:szCs w:val="20"/>
        </w:rPr>
        <w:t xml:space="preserve">THE KATERRA LESSON: </w:t>
      </w:r>
      <w:r>
        <w:rPr>
          <w:rFonts w:ascii="Arial" w:cs="Arial" w:eastAsia="Arial" w:hAnsi="Arial"/>
          <w:color w:val="333333"/>
          <w:sz w:val="20"/>
          <w:szCs w:val="20"/>
        </w:rPr>
        <w:t xml:space="preserve">Construction innovation is not a blitz-scaling opportunity. It is a compounding-efficiency opportunity. The winners build slightly better, slightly faster, slightly cheaper than the market—and then do it 350 times a year. The losers try to be 10x better and burn out before they reach 1x.</w:t>
      </w:r>
    </w:p>
    <w:p>
      <w:pPr>
        <w:sectPr>
          <w:pgSz w:w="12240" w:h="15840" w:orient="portrait"/>
          <w:pgMar w:top="1440" w:right="1440" w:bottom="1440" w:left="1440" w:header="708" w:footer="708" w:gutter="0"/>
          <w:pgNumType/>
          <w:docGrid w:linePitch="360"/>
        </w:sectPr>
      </w:pPr>
    </w:p>
    <w:p>
      <w:pPr>
        <w:pStyle w:val="Heading1"/>
        <w:pBdr>
          <w:bottom w:val="single" w:color="4A90D9" w:sz="4" w:space="4"/>
        </w:pBdr>
        <w:spacing w:before="360" w:after="200"/>
      </w:pPr>
      <w:r>
        <w:rPr>
          <w:rFonts w:ascii="Arial" w:cs="Arial" w:eastAsia="Arial" w:hAnsi="Arial"/>
          <w:b/>
          <w:bCs/>
          <w:color w:val="1B3A5C"/>
          <w:sz w:val="28"/>
          <w:szCs w:val="28"/>
        </w:rPr>
        <w:t xml:space="preserve">Strategic Implications for SVDen Development</w:t>
      </w:r>
    </w:p>
    <w:p>
      <w:pPr>
        <w:pStyle w:val="Heading2"/>
        <w:spacing w:before="280" w:after="160"/>
      </w:pPr>
      <w:r>
        <w:rPr>
          <w:rFonts w:ascii="Arial" w:cs="Arial" w:eastAsia="Arial" w:hAnsi="Arial"/>
          <w:b/>
          <w:bCs/>
          <w:color w:val="2E5984"/>
          <w:sz w:val="24"/>
          <w:szCs w:val="24"/>
        </w:rPr>
        <w:t xml:space="preserve">The Positioning Matrix</w:t>
      </w:r>
    </w:p>
    <w:p>
      <w:pPr>
        <w:spacing w:after="120" w:line="276"/>
      </w:pPr>
      <w:r>
        <w:rPr>
          <w:rFonts w:ascii="Arial" w:cs="Arial" w:eastAsia="Arial" w:hAnsi="Arial"/>
          <w:color w:val="333333"/>
          <w:sz w:val="21"/>
          <w:szCs w:val="21"/>
        </w:rPr>
        <w:t xml:space="preserve">Based on these five case studies, residential construction companies can be mapped on two axes: degree of vertical integration (from component supplier to full-stack developer) and technology intensity (from conventional to AI-native). The survivors cluster in two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Low Tech</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Medium Tech</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High Tech / AI-Native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Full-Stack (Dev + Mfg + 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Traditional Custom Builder</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
            </w:r>
          </w:p>
        </w:tc>
        <w:tc>
          <w:tcPr>
            <w:tcW w:type="dxa" w:w="2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19"/>
                <w:szCs w:val="19"/>
              </w:rPr>
              <w:t xml:space="preserve">☠ KATERRA  ☠ VEEV  (Dead Zone)</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333333"/>
                <w:sz w:val="19"/>
                <w:szCs w:val="19"/>
              </w:rPr>
              <w:t xml:space="preserve">Integrated (Dev + Build)</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val="false"/>
                <w:bCs w:val="false"/>
                <w:color w:val="333333"/>
                <w:sz w:val="19"/>
                <w:szCs w:val="19"/>
              </w:rPr>
              <w:t xml:space="preserve">Regional Builders (Toll, Lennar)</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27AE60"/>
                <w:sz w:val="19"/>
                <w:szCs w:val="19"/>
              </w:rPr>
              <w:t xml:space="preserve">✅ TJH (Winner)</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color w:val="E67E22"/>
                <w:sz w:val="19"/>
                <w:szCs w:val="19"/>
              </w:rPr>
              <w:t xml:space="preserve">⚠ ARO HOMES (Promising)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9"/>
                <w:szCs w:val="19"/>
              </w:rPr>
              <w:t xml:space="preserve">Component Supplier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Lumber Yards, Steel Distributors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19"/>
                <w:szCs w:val="19"/>
              </w:rPr>
              <w:t xml:space="preserve">⚠ LIVIO (At Risk)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AUAR (UK, early)</w:t>
            </w:r>
          </w:p>
        </w:tc>
      </w:tr>
    </w:tbl>
    <w:p>
      <w:pPr>
        <w:spacing w:before="200"/>
      </w:pPr>
    </w:p>
    <w:p>
      <w:pPr>
        <w:pBdr>
          <w:left w:val="single" w:color="4A90D9" w:sz="6" w:space="6"/>
        </w:pBdr>
        <w:spacing w:before="80" w:after="100"/>
        <w:ind w:left="200"/>
      </w:pPr>
      <w:r>
        <w:rPr>
          <w:rFonts w:ascii="Arial" w:cs="Arial" w:eastAsia="Arial" w:hAnsi="Arial"/>
          <w:b/>
          <w:bCs/>
          <w:color w:val="2E5984"/>
          <w:sz w:val="20"/>
          <w:szCs w:val="20"/>
        </w:rPr>
        <w:t xml:space="preserve">SVDen’s CURRENT POSITION: </w:t>
      </w:r>
      <w:r>
        <w:rPr>
          <w:rFonts w:ascii="Arial" w:cs="Arial" w:eastAsia="Arial" w:hAnsi="Arial"/>
          <w:i/>
          <w:iCs/>
          <w:color w:val="666666"/>
          <w:sz w:val="20"/>
          <w:szCs w:val="20"/>
        </w:rPr>
        <w:t xml:space="preserve">Integrated developer-builder (like TJH), medium technology (Revit/BIM, CFS engineering), with international supply chain (Chinese steel + German kitchens). Positioned in the safe zone but not yet leveraging technology for the compounding advantages Aro demonstrates.</w:t>
      </w:r>
    </w:p>
    <w:p>
      <w:pPr>
        <w:spacing w:before="200"/>
      </w:pPr>
    </w:p>
    <w:p>
      <w:pPr>
        <w:pStyle w:val="Heading2"/>
        <w:spacing w:before="280" w:after="160"/>
      </w:pPr>
      <w:r>
        <w:rPr>
          <w:rFonts w:ascii="Arial" w:cs="Arial" w:eastAsia="Arial" w:hAnsi="Arial"/>
          <w:b/>
          <w:bCs/>
          <w:color w:val="2E5984"/>
          <w:sz w:val="24"/>
          <w:szCs w:val="24"/>
        </w:rPr>
        <w:t xml:space="preserve">Six Strategic Recommendations</w:t>
      </w:r>
    </w:p>
    <w:p>
      <w:pPr>
        <w:spacing w:before="200" w:after="120"/>
      </w:pPr>
      <w:r>
        <w:rPr>
          <w:rFonts w:ascii="Arial" w:cs="Arial" w:eastAsia="Arial" w:hAnsi="Arial"/>
          <w:b/>
          <w:bCs/>
          <w:color w:val="2E5984"/>
          <w:sz w:val="22"/>
          <w:szCs w:val="22"/>
        </w:rPr>
        <w:t xml:space="preserve">1. Adopt TJH’s Fixed-Price Guarantee Model</w:t>
      </w:r>
    </w:p>
    <w:p>
      <w:pPr>
        <w:spacing w:after="120" w:line="276"/>
      </w:pPr>
      <w:r>
        <w:rPr>
          <w:rFonts w:ascii="Arial" w:cs="Arial" w:eastAsia="Arial" w:hAnsi="Arial"/>
          <w:color w:val="333333"/>
          <w:sz w:val="21"/>
          <w:szCs w:val="21"/>
        </w:rPr>
        <w:t xml:space="preserve">TJH’s $650/SF guaranteed price with penalty for late delivery is the single most powerful competitive weapon in infill SFR. SVDen should develop a version calibrated to its Bay Area markets: a published $/SF range by finish tier (Standard, Premium, Nobilia+), backed by a timeline guarantee. This requires completing the pro forma templates from the Financial Decision Framework for enough projects to establish actuarial confidence in cost ranges.</w:t>
      </w:r>
    </w:p>
    <w:p>
      <w:pPr>
        <w:spacing w:before="200" w:after="120"/>
      </w:pPr>
      <w:r>
        <w:rPr>
          <w:rFonts w:ascii="Arial" w:cs="Arial" w:eastAsia="Arial" w:hAnsi="Arial"/>
          <w:b/>
          <w:bCs/>
          <w:color w:val="2E5984"/>
          <w:sz w:val="22"/>
          <w:szCs w:val="22"/>
        </w:rPr>
        <w:t xml:space="preserve">2. Build Process Parallelization Into Every Project</w:t>
      </w:r>
    </w:p>
    <w:p>
      <w:pPr>
        <w:spacing w:after="120" w:line="276"/>
      </w:pPr>
      <w:r>
        <w:rPr>
          <w:rFonts w:ascii="Arial" w:cs="Arial" w:eastAsia="Arial" w:hAnsi="Arial"/>
          <w:color w:val="333333"/>
          <w:sz w:val="21"/>
          <w:szCs w:val="21"/>
        </w:rPr>
        <w:t xml:space="preserve">Aro’s 90-day timeline is achieved not through faster construction but through running traditionally sequential processes in parallel. SVDen should map every project phase (design, permitting, procurement, site prep, factory fabrication, on-site assembly) and identify which can overlap. The Pre-Design Site Constraint Analysis template is the first step—completing it before design starts eliminates the kind of serial rework that destroyed the 595 Morey timeline.</w:t>
      </w:r>
    </w:p>
    <w:p>
      <w:pPr>
        <w:spacing w:before="200" w:after="120"/>
      </w:pPr>
      <w:r>
        <w:rPr>
          <w:rFonts w:ascii="Arial" w:cs="Arial" w:eastAsia="Arial" w:hAnsi="Arial"/>
          <w:b/>
          <w:bCs/>
          <w:color w:val="2E5984"/>
          <w:sz w:val="22"/>
          <w:szCs w:val="22"/>
        </w:rPr>
        <w:t xml:space="preserve">3. Develop a Single Standardized Design Platform</w:t>
      </w:r>
    </w:p>
    <w:p>
      <w:pPr>
        <w:spacing w:after="120" w:line="276"/>
      </w:pPr>
      <w:r>
        <w:rPr>
          <w:rFonts w:ascii="Arial" w:cs="Arial" w:eastAsia="Arial" w:hAnsi="Arial"/>
          <w:color w:val="333333"/>
          <w:sz w:val="21"/>
          <w:szCs w:val="21"/>
        </w:rPr>
        <w:t xml:space="preserve">Aro’s single-product discipline is its greatest strength. SVDen does not need to go this far, but should develop 3–5 standardized “platform” designs for its target markets (Peninsula SFR, San Jose infill, South County multifamily) that can be site-adapted without starting from scratch. Each platform should have pre-engineered structural, MEP, and kitchen (Nobilia) configurations that reduce per-project design cost by 60–70%.</w:t>
      </w:r>
    </w:p>
    <w:p>
      <w:pPr>
        <w:spacing w:before="200" w:after="120"/>
      </w:pPr>
      <w:r>
        <w:rPr>
          <w:rFonts w:ascii="Arial" w:cs="Arial" w:eastAsia="Arial" w:hAnsi="Arial"/>
          <w:b/>
          <w:bCs/>
          <w:color w:val="2E5984"/>
          <w:sz w:val="22"/>
          <w:szCs w:val="22"/>
        </w:rPr>
        <w:t xml:space="preserve">4. Evaluate Livio as a Tactical Supply Chain Complement</w:t>
      </w:r>
    </w:p>
    <w:p>
      <w:pPr>
        <w:spacing w:after="120" w:line="276"/>
      </w:pPr>
      <w:r>
        <w:rPr>
          <w:rFonts w:ascii="Arial" w:cs="Arial" w:eastAsia="Arial" w:hAnsi="Arial"/>
          <w:color w:val="333333"/>
          <w:sz w:val="21"/>
          <w:szCs w:val="21"/>
        </w:rPr>
        <w:t xml:space="preserve">Livio’s India-manufactured CFS panels with zero US tariffs may offer a cost advantage over Chinese supply for specific applications. SVDen should investigate: (a) Livio’s license suspension status and resolution path; (b) panel pricing vs. Chinese CFS on an installed-cost basis including tariffs and shipping; (c) certification compatibility with Bay Area jurisdictions. If viable, a strategic partnership could diversify SVDen’s supply chain risk away from China tariff exposure.</w:t>
      </w:r>
    </w:p>
    <w:p>
      <w:pPr>
        <w:spacing w:before="200" w:after="120"/>
      </w:pPr>
      <w:r>
        <w:rPr>
          <w:rFonts w:ascii="Arial" w:cs="Arial" w:eastAsia="Arial" w:hAnsi="Arial"/>
          <w:b/>
          <w:bCs/>
          <w:color w:val="2E5984"/>
          <w:sz w:val="22"/>
          <w:szCs w:val="22"/>
        </w:rPr>
        <w:t xml:space="preserve">5. Never Own Factories (The Katerra/Veev Lesson)</w:t>
      </w:r>
    </w:p>
    <w:p>
      <w:pPr>
        <w:spacing w:after="120" w:line="276"/>
      </w:pPr>
      <w:r>
        <w:rPr>
          <w:rFonts w:ascii="Arial" w:cs="Arial" w:eastAsia="Arial" w:hAnsi="Arial"/>
          <w:color w:val="333333"/>
          <w:sz w:val="21"/>
          <w:szCs w:val="21"/>
        </w:rPr>
        <w:t xml:space="preserve">The two clearest failures in this landscape both owned manufacturing facilities. Factory ownership converts variable construction cost into fixed overhead that must be fed continuously. In cyclical housing markets, this is fatal. SVDen should access factory capacity through supplier relationships (Chinese mills, Nobilia, potentially Livio) rather than owning it. Capital should flow to land, entitlements, and projects—not fixed assets.</w:t>
      </w:r>
    </w:p>
    <w:p>
      <w:pPr>
        <w:spacing w:before="200" w:after="120"/>
      </w:pPr>
      <w:r>
        <w:rPr>
          <w:rFonts w:ascii="Arial" w:cs="Arial" w:eastAsia="Arial" w:hAnsi="Arial"/>
          <w:b/>
          <w:bCs/>
          <w:color w:val="2E5984"/>
          <w:sz w:val="22"/>
          <w:szCs w:val="22"/>
        </w:rPr>
        <w:t xml:space="preserve">6. Deploy AI at the Decision Layer, Not the Production Layer</w:t>
      </w:r>
    </w:p>
    <w:p>
      <w:pPr>
        <w:spacing w:after="120" w:line="276"/>
      </w:pPr>
      <w:r>
        <w:rPr>
          <w:rFonts w:ascii="Arial" w:cs="Arial" w:eastAsia="Arial" w:hAnsi="Arial"/>
          <w:color w:val="333333"/>
          <w:sz w:val="21"/>
          <w:szCs w:val="21"/>
        </w:rPr>
        <w:t xml:space="preserve">The most impactful AI applications in construction are not in robotic assembly (expensive, brittle, slow to iterate) but in decision support: site selection algorithms, automated code compliance checking, pro forma sensitivity analysis, permit timeline prediction, and real-time cost tracking. These applications improve every project’s economics without requiring factory capital. xwire.ai’s AI underwriting engine is exactly this kind of decision-layer technology—it should be the centerpiece of SVDen’s technology strategy.</w:t>
      </w:r>
    </w:p>
    <w:p>
      <w:pPr>
        <w:spacing w:before="300"/>
      </w:pPr>
    </w:p>
    <w:p>
      <w:pPr>
        <w:pBdr>
          <w:top w:val="single" w:color="4A90D9" w:sz="2" w:space="8"/>
        </w:pBdr>
        <w:jc w:val="center"/>
      </w:pPr>
      <w:r>
        <w:rPr>
          <w:rFonts w:ascii="Arial" w:cs="Arial" w:eastAsia="Arial" w:hAnsi="Arial"/>
          <w:color w:val="666666"/>
          <w:sz w:val="18"/>
          <w:szCs w:val="18"/>
        </w:rPr>
        <w:t xml:space="preserve">SVDen Development  •  Frontier Builder Case Studies  •  v1.0</w:t>
      </w:r>
    </w:p>
    <w:p>
      <w:pPr>
        <w:jc w:val="center"/>
      </w:pPr>
      <w:r>
        <w:rPr>
          <w:rFonts w:ascii="Arial" w:cs="Arial" w:eastAsia="Arial" w:hAnsi="Arial"/>
          <w:i/>
          <w:iCs/>
          <w:color w:val="666666"/>
          <w:sz w:val="18"/>
          <w:szCs w:val="18"/>
        </w:rPr>
        <w:t xml:space="preserve">Supplement to CA Land Use &amp; Development Learning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Frontier Builder Case Studies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SVDen Development  •  Frontier Builder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2026-02-15T01:59:20.520Z</dcterms:created>
  <dcterms:modified xsi:type="dcterms:W3CDTF">2026-02-15T01:59:20.521Z</dcterms:modified>
</cp:coreProperties>
</file>

<file path=docProps/custom.xml><?xml version="1.0" encoding="utf-8"?>
<Properties xmlns="http://schemas.openxmlformats.org/officeDocument/2006/custom-properties" xmlns:vt="http://schemas.openxmlformats.org/officeDocument/2006/docPropsVTypes"/>
</file>