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Georgia" w:cs="Georgia" w:eastAsia="Georgia" w:hAnsi="Georgia"/>
          <w:b/>
          <w:bCs/>
          <w:color w:val="1B2A4A"/>
          <w:sz w:val="56"/>
          <w:szCs w:val="56"/>
        </w:rPr>
        <w:t xml:space="preserve">CALIFORNIA LAND USE</w:t>
      </w:r>
    </w:p>
    <w:p>
      <w:pPr>
        <w:spacing w:after="100"/>
        <w:jc w:val="center"/>
      </w:pPr>
      <w:r>
        <w:rPr>
          <w:rFonts w:ascii="Georgia" w:cs="Georgia" w:eastAsia="Georgia" w:hAnsi="Georgia"/>
          <w:b/>
          <w:bCs/>
          <w:color w:val="1B2A4A"/>
          <w:sz w:val="56"/>
          <w:szCs w:val="56"/>
        </w:rPr>
        <w:t xml:space="preserve">&amp; DEVELOPMENT</w:t>
      </w:r>
    </w:p>
    <w:p>
      <w:pPr>
        <w:spacing w:after="200"/>
        <w:jc w:val="center"/>
      </w:pPr>
      <w:r>
        <w:rPr>
          <w:rFonts w:ascii="Georgia" w:cs="Georgia" w:eastAsia="Georgia" w:hAnsi="Georgia"/>
          <w:color w:val="3B7DD8"/>
          <w:sz w:val="36"/>
          <w:szCs w:val="36"/>
        </w:rPr>
        <w:t xml:space="preserve">ESSENTIAL SKILLS GUIDEBOOK</w:t>
      </w:r>
    </w:p>
    <w:p>
      <w:pPr>
        <w:pBdr>
          <w:top w:val="single" w:color="3B7DD8" w:sz="4" w:space="1"/>
        </w:pBdr>
        <w:spacing w:after="300"/>
        <w:jc w:val="center"/>
      </w:pPr>
    </w:p>
    <w:p>
      <w:pPr>
        <w:spacing w:after="60"/>
        <w:jc w:val="center"/>
      </w:pPr>
      <w:r>
        <w:rPr>
          <w:rFonts w:ascii="Georgia" w:cs="Georgia" w:eastAsia="Georgia" w:hAnsi="Georgia"/>
          <w:color w:val="2E4057"/>
          <w:sz w:val="28"/>
          <w:szCs w:val="28"/>
        </w:rPr>
        <w:t xml:space="preserve">Residential • Hospitality • Modular Construction</w:t>
      </w:r>
    </w:p>
    <w:p>
      <w:pPr>
        <w:pBdr>
          <w:bottom w:val="single" w:color="CCCCCC" w:sz="2" w:space="1"/>
        </w:pBdr>
        <w:spacing w:after="200"/>
        <w:jc w:val="center"/>
      </w:pPr>
    </w:p>
    <w:p>
      <w:pPr>
        <w:spacing w:after="60"/>
        <w:jc w:val="center"/>
      </w:pPr>
      <w:r>
        <w:rPr>
          <w:rFonts w:ascii="Arial" w:cs="Arial" w:eastAsia="Arial" w:hAnsi="Arial"/>
          <w:color w:val="2E4057"/>
          <w:sz w:val="22"/>
          <w:szCs w:val="22"/>
        </w:rPr>
        <w:t xml:space="preserve">Zoning | CEQA | Subdivision | SB 9 | SB 35 | SB 330 | Density Bonus | ADU</w:t>
      </w:r>
    </w:p>
    <w:p>
      <w:pPr>
        <w:spacing w:after="60"/>
        <w:jc w:val="center"/>
      </w:pPr>
      <w:r>
        <w:rPr>
          <w:rFonts w:ascii="Arial" w:cs="Arial" w:eastAsia="Arial" w:hAnsi="Arial"/>
          <w:color w:val="2E4057"/>
          <w:sz w:val="22"/>
          <w:szCs w:val="22"/>
        </w:rPr>
        <w:t xml:space="preserve">Hotel Entitlements | Franchise Agreements | ABC Licensing</w:t>
      </w:r>
    </w:p>
    <w:p>
      <w:pPr>
        <w:spacing w:after="60"/>
        <w:jc w:val="center"/>
      </w:pPr>
      <w:r>
        <w:rPr>
          <w:rFonts w:ascii="Arial" w:cs="Arial" w:eastAsia="Arial" w:hAnsi="Arial"/>
          <w:color w:val="2E4057"/>
          <w:sz w:val="22"/>
          <w:szCs w:val="22"/>
        </w:rPr>
        <w:t xml:space="preserve">Marriott Modular Program | citizenM Volumetric System | CFS &amp; ICF</w:t>
      </w:r>
    </w:p>
    <w:p>
      <w:pPr>
        <w:spacing w:after="60"/>
        <w:jc w:val="center"/>
      </w:pPr>
      <w:r>
        <w:rPr>
          <w:rFonts w:ascii="Arial" w:cs="Arial" w:eastAsia="Arial" w:hAnsi="Arial"/>
          <w:color w:val="2E4057"/>
          <w:sz w:val="22"/>
          <w:szCs w:val="22"/>
        </w:rPr>
        <w:t xml:space="preserve">Geotechnical | Civil | Survey | Revit BIM | GIS Analysis</w:t>
      </w:r>
    </w:p>
    <w:p>
      <w:pPr>
        <w:spacing w:before="500"/>
      </w:pPr>
    </w:p>
    <w:p>
      <w:pPr>
        <w:spacing w:after="40"/>
        <w:jc w:val="center"/>
      </w:pPr>
      <w:r>
        <w:rPr>
          <w:rFonts w:ascii="Georgia" w:cs="Georgia" w:eastAsia="Georgia" w:hAnsi="Georgia"/>
          <w:color w:val="1B2A4A"/>
          <w:sz w:val="24"/>
          <w:szCs w:val="24"/>
        </w:rPr>
        <w:t xml:space="preserve">Prepared for SVDen Development</w:t>
      </w:r>
    </w:p>
    <w:p>
      <w:pPr>
        <w:spacing w:after="40"/>
        <w:jc w:val="center"/>
      </w:pPr>
      <w:r>
        <w:rPr>
          <w:rFonts w:ascii="Arial" w:cs="Arial" w:eastAsia="Arial" w:hAnsi="Arial"/>
          <w:color w:val="6B7280"/>
          <w:sz w:val="20"/>
          <w:szCs w:val="20"/>
        </w:rPr>
        <w:t xml:space="preserve">Fast-Track Learning System with AI-Guided Tutoring</w:t>
      </w:r>
    </w:p>
    <w:p>
      <w:pPr>
        <w:jc w:val="center"/>
      </w:pPr>
      <w:r>
        <w:rPr>
          <w:rFonts w:ascii="Arial" w:cs="Arial" w:eastAsia="Arial" w:hAnsi="Arial"/>
          <w:color w:val="6B7280"/>
          <w:sz w:val="20"/>
          <w:szCs w:val="20"/>
        </w:rPr>
        <w:t xml:space="preserve">February 2026 — Version 2.0</w:t>
      </w:r>
    </w:p>
    <w:p>
      <w:pPr>
        <w:sectPr>
          <w:pgSz w:w="12240" w:h="15840" w:orient="portrait"/>
          <w:pgMar w:top="288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Part I: California Planning Law Framework</w:t>
      </w:r>
    </w:p>
    <w:p>
      <w:pPr>
        <w:spacing w:before="80" w:after="80"/>
      </w:pPr>
      <w:r>
        <w:rPr>
          <w:rFonts w:ascii="Arial" w:cs="Arial" w:eastAsia="Arial" w:hAnsi="Arial"/>
          <w:color w:val="1A1A1A"/>
          <w:sz w:val="22"/>
          <w:szCs w:val="22"/>
        </w:rPr>
        <w:t xml:space="preserve">This section covers the legal architecture governing all land use decisions in California for both residential and hospitality development.</w:t>
      </w:r>
    </w:p>
    <w:p>
      <w:pPr>
        <w:pStyle w:val="Heading2"/>
      </w:pPr>
      <w:r>
        <w:t xml:space="preserve">Chapter 1: General Plan &amp; Zoning</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§65000–65912</w:t>
      </w:r>
    </w:p>
    <w:p>
      <w:pPr>
        <w:pStyle w:val="Heading3"/>
      </w:pPr>
      <w:r>
        <w:t xml:space="preserve">1.1 General Plan Elements</w:t>
      </w:r>
    </w:p>
    <w:p>
      <w:pPr>
        <w:spacing w:before="80" w:after="80"/>
      </w:pPr>
      <w:r>
        <w:rPr>
          <w:rFonts w:ascii="Arial" w:cs="Arial" w:eastAsia="Arial" w:hAnsi="Arial"/>
          <w:color w:val="1A1A1A"/>
          <w:sz w:val="22"/>
          <w:szCs w:val="22"/>
        </w:rPr>
        <w:t xml:space="preserve">The General Plan is the “constitution” for local land use. Seven mandatory elements are required: Land Use, Circulation, Housing, Conservation, Open Space, Noise, and Safety. All zoning and development decisions must be consistent with the General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Code Section</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Residential Impact</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Hotel Impact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Land Use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§65302(a)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Allowable density, FAR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Determines if hotel is permitted use</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Circulation</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§65302(b)</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Traffic studies, road dedications</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Trip generation, loading zones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Housing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§65302(c)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RHNA, rezoning, density bonus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 (unless mixed-use)</w:t>
            </w:r>
          </w:p>
        </w:tc>
      </w:tr>
      <w:tr>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Noise</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§65302(f)</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Acoustic studies near highways</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24/7 operations, HVAC, events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Safety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§65302(g)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Geotech, FEMA, fire hazard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Same + emergency egress for guests</w:t>
            </w:r>
          </w:p>
        </w:tc>
      </w:tr>
    </w:tbl>
    <w:p>
      <w:pPr>
        <w:pStyle w:val="Heading3"/>
      </w:pPr>
      <w:r>
        <w:t xml:space="preserve">1.2 Zoning Fundamentals</w:t>
      </w:r>
    </w:p>
    <w:p>
      <w:pPr>
        <w:spacing w:before="80" w:after="80"/>
      </w:pPr>
      <w:r>
        <w:rPr>
          <w:rFonts w:ascii="Arial" w:cs="Arial" w:eastAsia="Arial" w:hAnsi="Arial"/>
          <w:color w:val="1A1A1A"/>
          <w:sz w:val="22"/>
          <w:szCs w:val="22"/>
        </w:rPr>
        <w:t xml:space="preserve">Hotels are typically permitted in C-2, C-3, CBD, Mixed-Use, Highway Commercial, and Planned Development zones. In many jurisdictions, hotels require a CUP even in commercial zones due to traffic, noise, and 24/7 operational impacts.</w:t>
      </w:r>
    </w:p>
    <w:p>
      <w:pPr>
        <w:pStyle w:val="Heading3"/>
      </w:pPr>
      <w:r>
        <w:t xml:space="preserve">1.3 Discretionary vs. Ministerial</w:t>
      </w:r>
    </w:p>
    <w:p>
      <w:pPr>
        <w:spacing w:before="80" w:after="80"/>
      </w:pPr>
      <w:r>
        <w:rPr>
          <w:rFonts w:ascii="Arial" w:cs="Arial" w:eastAsia="Arial" w:hAnsi="Arial"/>
          <w:b/>
          <w:bCs/>
          <w:color w:val="1B2A4A"/>
          <w:sz w:val="22"/>
          <w:szCs w:val="22"/>
        </w:rPr>
        <w:t xml:space="preserve">Residential Ministerial Pathways:</w:t>
      </w:r>
      <w:r>
        <w:rPr>
          <w:rFonts w:ascii="Arial" w:cs="Arial" w:eastAsia="Arial" w:hAnsi="Arial"/>
          <w:color w:val="1A1A1A"/>
          <w:sz w:val="22"/>
          <w:szCs w:val="22"/>
        </w:rPr>
        <w:t xml:space="preserve"> Building permits, SB 35, SB 9, ADUs by right.</w:t>
      </w:r>
    </w:p>
    <w:p>
      <w:pPr>
        <w:spacing w:before="80" w:after="80"/>
      </w:pPr>
      <w:r>
        <w:rPr>
          <w:rFonts w:ascii="Arial" w:cs="Arial" w:eastAsia="Arial" w:hAnsi="Arial"/>
          <w:b/>
          <w:bCs/>
          <w:color w:val="1B2A4A"/>
          <w:sz w:val="22"/>
          <w:szCs w:val="22"/>
        </w:rPr>
        <w:t xml:space="preserve">Hotel (Typically Discretionary):</w:t>
      </w:r>
      <w:r>
        <w:rPr>
          <w:rFonts w:ascii="Arial" w:cs="Arial" w:eastAsia="Arial" w:hAnsi="Arial"/>
          <w:color w:val="1A1A1A"/>
          <w:sz w:val="22"/>
          <w:szCs w:val="22"/>
        </w:rPr>
        <w:t xml:space="preserve"> CUP required in most zones, design review, parking/traffic studies, ABC licensing. Hotels do not benefit from SB 35, SB 9, SB 330, or HAA protections.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Critical Distinction</w:t>
            </w:r>
          </w:p>
          <w:p>
            <w:r>
              <w:rPr>
                <w:rFonts w:ascii="Arial" w:cs="Arial" w:eastAsia="Arial" w:hAnsi="Arial"/>
                <w:color w:val="2E4057"/>
                <w:sz w:val="20"/>
                <w:szCs w:val="20"/>
              </w:rPr>
              <w:t xml:space="preserve">California’s housing acceleration laws (SB 35, SB 9, SB 330, HAA) apply only to housing projects. Hotel developers must navigate the full discretionary approval process, including CEQA, public hearings, and potentially lengthy environmental review.</w:t>
            </w:r>
          </w:p>
        </w:tc>
      </w:tr>
    </w:tbl>
    <w:p>
      <w:pPr>
        <w:pBdr>
          <w:bottom w:val="single" w:color="CCCCCC" w:sz="2" w:space="1"/>
        </w:pBdr>
        <w:spacing w:before="200" w:after="200"/>
      </w:pPr>
    </w:p>
    <w:p>
      <w:pPr>
        <w:pStyle w:val="Heading1"/>
      </w:pPr>
      <w:r>
        <w:t xml:space="preserve">Part II: California Housing Legislation</w:t>
      </w:r>
    </w:p>
    <w:p>
      <w:pPr>
        <w:pStyle w:val="Heading2"/>
      </w:pPr>
      <w:r>
        <w:t xml:space="preserve">Chapter 2: SB 35 — Streamlined Ministerial Approval</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§65913.4</w:t>
      </w:r>
    </w:p>
    <w:p>
      <w:pPr>
        <w:spacing w:before="80" w:after="80"/>
      </w:pPr>
      <w:r>
        <w:rPr>
          <w:rFonts w:ascii="Arial" w:cs="Arial" w:eastAsia="Arial" w:hAnsi="Arial"/>
          <w:color w:val="1A1A1A"/>
          <w:sz w:val="22"/>
          <w:szCs w:val="22"/>
        </w:rPr>
        <w:t xml:space="preserve">Creates a ministerial pathway for qualifying multifamily housing in jurisdictions not meeting RHNA. No CEQA, no public hearing, no discretionary denial.</w:t>
      </w:r>
    </w:p>
    <w:p>
      <w:pPr>
        <w:pStyle w:val="Heading3"/>
      </w:pPr>
      <w:r>
        <w:t xml:space="preserve">2.1 Eligibility</w:t>
      </w:r>
    </w:p>
    <w:p>
      <w:pPr>
        <w:pStyle w:val="ListParagraph"/>
        <w:numPr>
          <w:ilvl w:val="0"/>
          <w:numId w:val="2"/>
        </w:numPr>
      </w:pPr>
      <w:r>
        <w:rPr>
          <w:rFonts w:ascii="Arial" w:cs="Arial" w:eastAsia="Arial" w:hAnsi="Arial"/>
          <w:color w:val="1A1A1A"/>
          <w:sz w:val="22"/>
          <w:szCs w:val="22"/>
        </w:rPr>
        <w:t xml:space="preserve">Multifamily (2+ units) on infill site in urbanized area</w:t>
      </w:r>
    </w:p>
    <w:p>
      <w:pPr>
        <w:pStyle w:val="ListParagraph"/>
        <w:numPr>
          <w:ilvl w:val="0"/>
          <w:numId w:val="2"/>
        </w:numPr>
      </w:pPr>
      <w:r>
        <w:rPr>
          <w:rFonts w:ascii="Arial" w:cs="Arial" w:eastAsia="Arial" w:hAnsi="Arial"/>
          <w:color w:val="1A1A1A"/>
          <w:sz w:val="22"/>
          <w:szCs w:val="22"/>
        </w:rPr>
        <w:t xml:space="preserve">Zoned residential or mixed-use (≥2/3 residential SF)</w:t>
      </w:r>
    </w:p>
    <w:p>
      <w:pPr>
        <w:pStyle w:val="ListParagraph"/>
        <w:numPr>
          <w:ilvl w:val="0"/>
          <w:numId w:val="2"/>
        </w:numPr>
      </w:pPr>
      <w:r>
        <w:rPr>
          <w:rFonts w:ascii="Arial" w:cs="Arial" w:eastAsia="Arial" w:hAnsi="Arial"/>
          <w:color w:val="1A1A1A"/>
          <w:sz w:val="22"/>
          <w:szCs w:val="22"/>
        </w:rPr>
        <w:t xml:space="preserve">Consistent with objective standards</w:t>
      </w:r>
    </w:p>
    <w:p>
      <w:pPr>
        <w:pStyle w:val="ListParagraph"/>
        <w:numPr>
          <w:ilvl w:val="0"/>
          <w:numId w:val="2"/>
        </w:numPr>
      </w:pPr>
      <w:r>
        <w:rPr>
          <w:rFonts w:ascii="Arial" w:cs="Arial" w:eastAsia="Arial" w:hAnsi="Arial"/>
          <w:color w:val="1A1A1A"/>
          <w:sz w:val="22"/>
          <w:szCs w:val="22"/>
        </w:rPr>
        <w:t xml:space="preserve">Affordable set-aside: 10% (above-moderate shortfall) or 50% (all categories)</w:t>
      </w:r>
    </w:p>
    <w:p>
      <w:pPr>
        <w:pStyle w:val="ListParagraph"/>
        <w:numPr>
          <w:ilvl w:val="0"/>
          <w:numId w:val="2"/>
        </w:numPr>
      </w:pPr>
      <w:r>
        <w:rPr>
          <w:rFonts w:ascii="Arial" w:cs="Arial" w:eastAsia="Arial" w:hAnsi="Arial"/>
          <w:color w:val="1A1A1A"/>
          <w:sz w:val="22"/>
          <w:szCs w:val="22"/>
        </w:rPr>
        <w:t xml:space="preserve">Not in coastal zone, farmland, floodplain, fire zone, fault zone, hazardous site</w:t>
      </w:r>
    </w:p>
    <w:p>
      <w:pPr>
        <w:pStyle w:val="ListParagraph"/>
        <w:numPr>
          <w:ilvl w:val="0"/>
          <w:numId w:val="2"/>
        </w:numPr>
      </w:pPr>
      <w:r>
        <w:rPr>
          <w:rFonts w:ascii="Arial" w:cs="Arial" w:eastAsia="Arial" w:hAnsi="Arial"/>
          <w:color w:val="1A1A1A"/>
          <w:sz w:val="22"/>
          <w:szCs w:val="22"/>
        </w:rPr>
        <w:t xml:space="preserve">Prevailing wages; skilled workforce for 10+ units</w:t>
      </w:r>
    </w:p>
    <w:p>
      <w:pPr>
        <w:pStyle w:val="Heading3"/>
      </w:pPr>
      <w:r>
        <w:t xml:space="preserve">2.2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Review Period</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Consequence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&lt;150 units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90 days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Deemed approved</w:t>
            </w:r>
          </w:p>
        </w:tc>
      </w:tr>
      <w:tr>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150+ units</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180 days</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Deemed approved</w:t>
            </w:r>
          </w:p>
        </w:tc>
      </w:tr>
    </w:tbl>
    <w:p>
      <w:pPr>
        <w:pStyle w:val="Heading2"/>
      </w:pPr>
      <w:r>
        <w:t xml:space="preserve">Chapter 3: SB 9 — HOME Act</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§65852.21, §66452.6</w:t>
      </w:r>
    </w:p>
    <w:p>
      <w:pPr>
        <w:spacing w:before="80" w:after="80"/>
      </w:pPr>
      <w:r>
        <w:rPr>
          <w:rFonts w:ascii="Arial" w:cs="Arial" w:eastAsia="Arial" w:hAnsi="Arial"/>
          <w:color w:val="1A1A1A"/>
          <w:sz w:val="22"/>
          <w:szCs w:val="22"/>
        </w:rPr>
        <w:t xml:space="preserve">Allows up to 4 units on single-family lots via duplex + lot split combination. Ministerial, CEQA-exempt.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Allows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Duplex (§65852.21)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Two units on any SF lot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Ministerial; no CUP; 800 SF minimum</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Lot Split (§66452.6)</w:t>
            </w:r>
          </w:p>
        </w:tc>
        <w:tc>
          <w:tcPr>
            <w:tcW w:type="dxa" w:w="3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Split one lot into two</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Both ≥40% of original; ≥1,200 SF; ministerial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Combined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 units total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Owner-occupancy 3 yrs; no STR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SB 9 Strategy</w:t>
            </w:r>
          </w:p>
          <w:p>
            <w:r>
              <w:rPr>
                <w:rFonts w:ascii="Arial" w:cs="Arial" w:eastAsia="Arial" w:hAnsi="Arial"/>
                <w:color w:val="2E4057"/>
                <w:sz w:val="20"/>
                <w:szCs w:val="20"/>
              </w:rPr>
              <w:t xml:space="preserve">For 1378 Longfellow, compare: 4 units via SB 9 (lot split + duplexes) vs. 2 units (house + ADU). Run the pro forma. SB 9 may yield significantly better returns despite the owner-occupancy constraint.</w:t>
            </w:r>
          </w:p>
        </w:tc>
      </w:tr>
    </w:tbl>
    <w:p>
      <w:pPr>
        <w:pStyle w:val="Heading2"/>
      </w:pPr>
      <w:r>
        <w:t xml:space="preserve">Chapter 4: SB 330 — Housing Crisis Act</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§65941.1, §65905.5, §66300</w:t>
      </w:r>
    </w:p>
    <w:p>
      <w:pPr>
        <w:spacing w:before="80" w:after="80"/>
      </w:pPr>
      <w:r>
        <w:rPr>
          <w:rFonts w:ascii="Arial" w:cs="Arial" w:eastAsia="Arial" w:hAnsi="Arial"/>
          <w:color w:val="1A1A1A"/>
          <w:sz w:val="22"/>
          <w:szCs w:val="22"/>
        </w:rPr>
        <w:t xml:space="preserve">Sweeping housing protections extended through 2030 by SB 423. Key provisions: preliminary application vesting, 5-hearing cap, no downzoning, strengthened HAA, and 60-day completeness review.</w:t>
      </w:r>
    </w:p>
    <w:p>
      <w:pPr>
        <w:pStyle w:val="Heading3"/>
      </w:pPr>
      <w:r>
        <w:t xml:space="preserve">4.1 The Preliminary Application</w:t>
      </w:r>
    </w:p>
    <w:p>
      <w:pPr>
        <w:spacing w:before="80" w:after="80"/>
      </w:pPr>
      <w:r>
        <w:rPr>
          <w:rFonts w:ascii="Arial" w:cs="Arial" w:eastAsia="Arial" w:hAnsi="Arial"/>
          <w:color w:val="1A1A1A"/>
          <w:sz w:val="22"/>
          <w:szCs w:val="22"/>
        </w:rPr>
        <w:t xml:space="preserve">Locks in all development standards, fees, and exactions as of filing date — before design is complete. Requires only basic project information: address, description, unit count, site plan footprint. File as early as possible to protect against fee increases.</w:t>
      </w:r>
    </w:p>
    <w:p>
      <w:pPr>
        <w:pStyle w:val="Heading2"/>
      </w:pPr>
      <w:r>
        <w:t xml:space="preserve">Chapter 5: Additional Housing Tools</w:t>
      </w:r>
    </w:p>
    <w:p>
      <w:pPr>
        <w:pStyle w:val="Heading3"/>
      </w:pPr>
      <w:r>
        <w:t xml:space="preserve">5.1 Housing Accountability Act</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§65589.5</w:t>
      </w:r>
    </w:p>
    <w:p>
      <w:pPr>
        <w:spacing w:before="80" w:after="80"/>
      </w:pPr>
      <w:r>
        <w:rPr>
          <w:rFonts w:ascii="Arial" w:cs="Arial" w:eastAsia="Arial" w:hAnsi="Arial"/>
          <w:color w:val="1A1A1A"/>
          <w:sz w:val="22"/>
          <w:szCs w:val="22"/>
        </w:rPr>
        <w:t xml:space="preserve">Limits local ability to deny housing meeting objective standards. Financial penalties of $10,000+ per unit for violations.</w:t>
      </w:r>
    </w:p>
    <w:p>
      <w:pPr>
        <w:pStyle w:val="Heading3"/>
      </w:pPr>
      <w:r>
        <w:t xml:space="preserve">5.2 Density Bonus Law</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§65915–65918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Set-Aside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Max Bonus</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Concessions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Very Low Income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50% (at 15%+)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1–3</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Low Income</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50% (at 24%+)</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Moderate (condo)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35% (at 40%+)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1–3</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100% Affordable</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100%</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80%</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 + unlimited waivers</w:t>
            </w:r>
          </w:p>
        </w:tc>
      </w:tr>
    </w:tbl>
    <w:p>
      <w:pPr>
        <w:pStyle w:val="Heading3"/>
      </w:pPr>
      <w:r>
        <w:t xml:space="preserve">5.3 ADU Law</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§65852.2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43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Setback</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Detached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1,200 SF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 ft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Must allow 800 SF regardless of FAR</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Attached</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50% or 1,200 SF</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 ft</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 replacement parking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JADU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500 SF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Within primary; owner-occupancy</w:t>
            </w:r>
          </w:p>
        </w:tc>
      </w:tr>
      <w:tr>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Conversion</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 limit</w:t>
            </w:r>
          </w:p>
        </w:tc>
        <w:tc>
          <w:tcPr>
            <w:tcW w:type="dxa" w:w="1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None</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Existing structures; unlimited on MF lots</w:t>
            </w:r>
          </w:p>
        </w:tc>
      </w:tr>
    </w:tbl>
    <w:p>
      <w:r>
        <w:br w:type="page"/>
      </w:r>
    </w:p>
    <w:p>
      <w:pPr>
        <w:pStyle w:val="Heading1"/>
      </w:pPr>
      <w:r>
        <w:t xml:space="preserve">Part III: CEQA</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Public Resources Code §21000+; 14 CCR §15000+</w:t>
      </w:r>
    </w:p>
    <w:p>
      <w:pPr>
        <w:pStyle w:val="Heading2"/>
      </w:pPr>
      <w:r>
        <w:t xml:space="preserve">Chapter 6: CEQA Framework</w:t>
      </w:r>
    </w:p>
    <w:p>
      <w:pPr>
        <w:pStyle w:val="Heading3"/>
      </w:pPr>
      <w:r>
        <w:t xml:space="preserve">6.1 Decision Tree</w:t>
      </w:r>
    </w:p>
    <w:p>
      <w:pPr>
        <w:pStyle w:val="ListParagraph"/>
        <w:numPr>
          <w:ilvl w:val="0"/>
          <w:numId w:val="3"/>
        </w:numPr>
      </w:pPr>
      <w:r>
        <w:rPr>
          <w:rFonts w:ascii="Arial" w:cs="Arial" w:eastAsia="Arial" w:hAnsi="Arial"/>
          <w:color w:val="1A1A1A"/>
          <w:sz w:val="22"/>
          <w:szCs w:val="22"/>
        </w:rPr>
        <w:t xml:space="preserve">Is it a “project”? If no discretionary approval → no CEQA.</w:t>
      </w:r>
    </w:p>
    <w:p>
      <w:pPr>
        <w:pStyle w:val="ListParagraph"/>
        <w:numPr>
          <w:ilvl w:val="0"/>
          <w:numId w:val="4"/>
        </w:numPr>
      </w:pPr>
      <w:r>
        <w:rPr>
          <w:rFonts w:ascii="Arial" w:cs="Arial" w:eastAsia="Arial" w:hAnsi="Arial"/>
          <w:color w:val="1A1A1A"/>
          <w:sz w:val="22"/>
          <w:szCs w:val="22"/>
        </w:rPr>
        <w:t xml:space="preserve">Is it exempt? Statutory (§15260–15285) or categorical (§15300–15333).</w:t>
      </w:r>
    </w:p>
    <w:p>
      <w:pPr>
        <w:pStyle w:val="ListParagraph"/>
        <w:numPr>
          <w:ilvl w:val="0"/>
          <w:numId w:val="4"/>
        </w:numPr>
      </w:pPr>
      <w:r>
        <w:rPr>
          <w:rFonts w:ascii="Arial" w:cs="Arial" w:eastAsia="Arial" w:hAnsi="Arial"/>
          <w:color w:val="1A1A1A"/>
          <w:sz w:val="22"/>
          <w:szCs w:val="22"/>
        </w:rPr>
        <w:t xml:space="preserve">Substantial evidence of significant effect? If no → ND. If mitigable → MND.</w:t>
      </w:r>
    </w:p>
    <w:p>
      <w:pPr>
        <w:pStyle w:val="ListParagraph"/>
        <w:numPr>
          <w:ilvl w:val="0"/>
          <w:numId w:val="4"/>
        </w:numPr>
      </w:pPr>
      <w:r>
        <w:rPr>
          <w:rFonts w:ascii="Arial" w:cs="Arial" w:eastAsia="Arial" w:hAnsi="Arial"/>
          <w:color w:val="1A1A1A"/>
          <w:sz w:val="22"/>
          <w:szCs w:val="22"/>
        </w:rPr>
        <w:t xml:space="preserve">Unmitigable significant impacts → full EIR.</w:t>
      </w:r>
    </w:p>
    <w:p>
      <w:pPr>
        <w:pStyle w:val="Heading3"/>
      </w:pPr>
      <w:r>
        <w:t xml:space="preserve">6.2 Exemptions: Residential vs. Hotel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Exemption</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Residential</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Hotel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Class 3 (Small Structures)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Up to 6 units in urbanized area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Rarely applicable</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Class 32 (Infill)</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GP-consistent infill ≤5 acres</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May apply to urban infill hotels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35</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Qualifying multifamily → no CEQA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Does not apply</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9</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Duplexes/lot splits → no CEQA</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Does not apply</w:t>
            </w:r>
          </w:p>
        </w:tc>
      </w:tr>
    </w:tbl>
    <w:p>
      <w:pPr>
        <w:pStyle w:val="Heading3"/>
      </w:pPr>
      <w:r>
        <w:t xml:space="preserve">6.3 Hotel-Specific CEQA Issues</w:t>
      </w:r>
    </w:p>
    <w:p>
      <w:pPr>
        <w:pStyle w:val="ListParagraph"/>
        <w:numPr>
          <w:ilvl w:val="0"/>
          <w:numId w:val="5"/>
        </w:numPr>
      </w:pPr>
      <w:r>
        <w:rPr>
          <w:rFonts w:ascii="Arial" w:cs="Arial" w:eastAsia="Arial" w:hAnsi="Arial"/>
          <w:color w:val="1A1A1A"/>
          <w:sz w:val="22"/>
          <w:szCs w:val="22"/>
        </w:rPr>
        <w:t xml:space="preserve">Traffic: ITE Code 310 = 8–10 trips/room/day</w:t>
      </w:r>
    </w:p>
    <w:p>
      <w:pPr>
        <w:pStyle w:val="ListParagraph"/>
        <w:numPr>
          <w:ilvl w:val="0"/>
          <w:numId w:val="6"/>
        </w:numPr>
      </w:pPr>
      <w:r>
        <w:rPr>
          <w:rFonts w:ascii="Arial" w:cs="Arial" w:eastAsia="Arial" w:hAnsi="Arial"/>
          <w:color w:val="1A1A1A"/>
          <w:sz w:val="22"/>
          <w:szCs w:val="22"/>
        </w:rPr>
        <w:t xml:space="preserve">Noise: 24/7 operations, events, HVAC, loading</w:t>
      </w:r>
    </w:p>
    <w:p>
      <w:pPr>
        <w:pStyle w:val="ListParagraph"/>
        <w:numPr>
          <w:ilvl w:val="0"/>
          <w:numId w:val="6"/>
        </w:numPr>
      </w:pPr>
      <w:r>
        <w:rPr>
          <w:rFonts w:ascii="Arial" w:cs="Arial" w:eastAsia="Arial" w:hAnsi="Arial"/>
          <w:color w:val="1A1A1A"/>
          <w:sz w:val="22"/>
          <w:szCs w:val="22"/>
        </w:rPr>
        <w:t xml:space="preserve">Aesthetics: Height/bulk, shade/shadow studies</w:t>
      </w:r>
    </w:p>
    <w:p>
      <w:pPr>
        <w:pStyle w:val="ListParagraph"/>
        <w:numPr>
          <w:ilvl w:val="0"/>
          <w:numId w:val="6"/>
        </w:numPr>
      </w:pPr>
      <w:r>
        <w:rPr>
          <w:rFonts w:ascii="Arial" w:cs="Arial" w:eastAsia="Arial" w:hAnsi="Arial"/>
          <w:color w:val="1A1A1A"/>
          <w:sz w:val="22"/>
          <w:szCs w:val="22"/>
        </w:rPr>
        <w:t xml:space="preserve">Air Quality: Restaurant emissions, parking garage</w:t>
      </w:r>
    </w:p>
    <w:p>
      <w:pPr>
        <w:pStyle w:val="ListParagraph"/>
        <w:numPr>
          <w:ilvl w:val="0"/>
          <w:numId w:val="6"/>
        </w:numPr>
      </w:pPr>
      <w:r>
        <w:rPr>
          <w:rFonts w:ascii="Arial" w:cs="Arial" w:eastAsia="Arial" w:hAnsi="Arial"/>
          <w:color w:val="1A1A1A"/>
          <w:sz w:val="22"/>
          <w:szCs w:val="22"/>
        </w:rPr>
        <w:t xml:space="preserve">Cultural Resources: Downtown/historic district sites</w:t>
      </w:r>
    </w:p>
    <w:p>
      <w:pPr>
        <w:pStyle w:val="Heading3"/>
      </w:pPr>
      <w:r>
        <w:t xml:space="preserve">6.4 EIR Cost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NOP/Scoping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30 days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$15K–$30K</w:t>
            </w:r>
          </w:p>
        </w:tc>
      </w:tr>
      <w:tr>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Draft EIR</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6–12 months</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$150K–$1M+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Public Review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45–60 days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Final EIR</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3–6 months</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$50K–$200K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Certification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months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$20K–$50K</w:t>
            </w:r>
          </w:p>
        </w:tc>
      </w:tr>
      <w:tr>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Litigation Window</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30 days</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Defense: $100K–$500K+</w:t>
            </w:r>
          </w:p>
        </w:tc>
      </w:tr>
    </w:tbl>
    <w:p>
      <w:r>
        <w:br w:type="page"/>
      </w:r>
    </w:p>
    <w:p>
      <w:pPr>
        <w:pStyle w:val="Heading1"/>
      </w:pPr>
      <w:r>
        <w:t xml:space="preserve">Part IV: Subdivision &amp; Mapping</w:t>
      </w:r>
    </w:p>
    <w:p>
      <w:pPr>
        <w:pStyle w:val="Heading2"/>
      </w:pPr>
      <w:r>
        <w:t xml:space="preserve">Chapter 7: Subdivision Map Act</w:t>
      </w:r>
    </w:p>
    <w:p>
      <w:pPr>
        <w:spacing w:before="40" w:after="80"/>
      </w:pPr>
      <w:r>
        <w:rPr>
          <w:rFonts w:ascii="Arial" w:cs="Arial" w:eastAsia="Arial" w:hAnsi="Arial"/>
          <w:b/>
          <w:bCs/>
          <w:i/>
          <w:iCs/>
          <w:color w:val="6B7280"/>
          <w:sz w:val="20"/>
          <w:szCs w:val="20"/>
        </w:rPr>
        <w:t xml:space="preserve">Statutory Reference: </w:t>
      </w:r>
      <w:r>
        <w:rPr>
          <w:rFonts w:ascii="Arial" w:cs="Arial" w:eastAsia="Arial" w:hAnsi="Arial"/>
          <w:i/>
          <w:iCs/>
          <w:color w:val="3B7DD8"/>
          <w:sz w:val="20"/>
          <w:szCs w:val="20"/>
        </w:rPr>
        <w:t xml:space="preserve">Government Code §66410–66499.38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Map Type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Parcels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Authority</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Features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Parcel Map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Advisory agency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Simpler; 24-month life</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Tentative Map</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Planning Commission</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Full CEQA; 36-month life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Vesting Tentative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Planning Commission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Vests rights at application date</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Final Map</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After tentative</w:t>
            </w:r>
          </w:p>
        </w:tc>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City Council</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Recorded with county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Lot Line Adjustment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new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Staff</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Boundary only</w:t>
            </w:r>
          </w:p>
        </w:tc>
      </w:tr>
    </w:tbl>
    <w:p>
      <w:pPr>
        <w:pStyle w:val="Heading3"/>
      </w:pPr>
      <w:r>
        <w:t xml:space="preserve">7.1 SB 9 Lot Splits vs. Traditional Subdivision</w:t>
      </w:r>
    </w:p>
    <w:p>
      <w:pPr>
        <w:spacing w:before="80" w:after="80"/>
      </w:pPr>
      <w:r>
        <w:rPr>
          <w:rFonts w:ascii="Arial" w:cs="Arial" w:eastAsia="Arial" w:hAnsi="Arial"/>
          <w:color w:val="1A1A1A"/>
          <w:sz w:val="22"/>
          <w:szCs w:val="22"/>
        </w:rPr>
        <w:t xml:space="preserve">SB 9 lot splits are ministerial, CEQA-exempt, and simplified. However, they include owner-occupancy (3 years), prohibition on serial splitting, and no STR deed restrictions. Compare SB 9 against traditional parcel maps for each project.</w:t>
      </w:r>
    </w:p>
    <w:p>
      <w:pPr>
        <w:pStyle w:val="Heading3"/>
      </w:pPr>
      <w:r>
        <w:t xml:space="preserve">7.2 Condominium Maps for Hotels</w:t>
      </w:r>
    </w:p>
    <w:p>
      <w:pPr>
        <w:spacing w:before="80" w:after="80"/>
      </w:pPr>
      <w:r>
        <w:rPr>
          <w:rFonts w:ascii="Arial" w:cs="Arial" w:eastAsia="Arial" w:hAnsi="Arial"/>
          <w:color w:val="1A1A1A"/>
          <w:sz w:val="22"/>
          <w:szCs w:val="22"/>
        </w:rPr>
        <w:t xml:space="preserve">Condo-hotel models (individually owned rooms under hotel management) require subdivision maps creating airspace parcels. This triggers DRE public report requirements and securities law considerations. Relevant for your xwire.ai tokenized real estate model.</w:t>
      </w:r>
    </w:p>
    <w:p>
      <w:r>
        <w:br w:type="page"/>
      </w:r>
    </w:p>
    <w:p>
      <w:pPr>
        <w:pStyle w:val="Heading1"/>
      </w:pPr>
      <w:r>
        <w:t xml:space="preserve">Part V: Hotel &amp; Hospitality Development</w:t>
      </w:r>
    </w:p>
    <w:p>
      <w:pPr>
        <w:pStyle w:val="Heading2"/>
      </w:pPr>
      <w:r>
        <w:t xml:space="preserve">Chapter 8: Hotel Entitlements</w:t>
      </w:r>
    </w:p>
    <w:p>
      <w:pPr>
        <w:pStyle w:val="Heading3"/>
      </w:pPr>
      <w:r>
        <w:t xml:space="preserve">8.1 Zoning for Hotels</w:t>
      </w:r>
    </w:p>
    <w:p>
      <w:pPr>
        <w:pStyle w:val="ListParagraph"/>
        <w:numPr>
          <w:ilvl w:val="0"/>
          <w:numId w:val="6"/>
        </w:numPr>
      </w:pPr>
      <w:r>
        <w:rPr>
          <w:rFonts w:ascii="Arial" w:cs="Arial" w:eastAsia="Arial" w:hAnsi="Arial"/>
          <w:color w:val="1A1A1A"/>
          <w:sz w:val="22"/>
          <w:szCs w:val="22"/>
        </w:rPr>
        <w:t xml:space="preserve">Permitted zones: C-2, C-3, CBD, Mixed-Use, Highway Commercial, Planned Development</w:t>
      </w:r>
    </w:p>
    <w:p>
      <w:pPr>
        <w:pStyle w:val="ListParagraph"/>
        <w:numPr>
          <w:ilvl w:val="0"/>
          <w:numId w:val="7"/>
        </w:numPr>
      </w:pPr>
      <w:r>
        <w:rPr>
          <w:rFonts w:ascii="Arial" w:cs="Arial" w:eastAsia="Arial" w:hAnsi="Arial"/>
          <w:color w:val="1A1A1A"/>
          <w:sz w:val="22"/>
          <w:szCs w:val="22"/>
        </w:rPr>
        <w:t xml:space="preserve">Parking: 0.5–1.0 spaces per key + restaurant, meeting space, employee parking</w:t>
      </w:r>
    </w:p>
    <w:p>
      <w:pPr>
        <w:pStyle w:val="ListParagraph"/>
        <w:numPr>
          <w:ilvl w:val="0"/>
          <w:numId w:val="7"/>
        </w:numPr>
      </w:pPr>
      <w:r>
        <w:rPr>
          <w:rFonts w:ascii="Arial" w:cs="Arial" w:eastAsia="Arial" w:hAnsi="Arial"/>
          <w:color w:val="1A1A1A"/>
          <w:sz w:val="22"/>
          <w:szCs w:val="22"/>
        </w:rPr>
        <w:t xml:space="preserve">Loading: Back-of-house for deliveries, laundry, waste; turning radius requirements</w:t>
      </w:r>
    </w:p>
    <w:p>
      <w:pPr>
        <w:pStyle w:val="ListParagraph"/>
        <w:numPr>
          <w:ilvl w:val="0"/>
          <w:numId w:val="7"/>
        </w:numPr>
      </w:pPr>
      <w:r>
        <w:rPr>
          <w:rFonts w:ascii="Arial" w:cs="Arial" w:eastAsia="Arial" w:hAnsi="Arial"/>
          <w:color w:val="1A1A1A"/>
          <w:sz w:val="22"/>
          <w:szCs w:val="22"/>
        </w:rPr>
        <w:t xml:space="preserve">Signage: Hotel programs often exceed standard commercial allowances</w:t>
      </w:r>
    </w:p>
    <w:p>
      <w:pPr>
        <w:pStyle w:val="ListParagraph"/>
        <w:numPr>
          <w:ilvl w:val="0"/>
          <w:numId w:val="7"/>
        </w:numPr>
      </w:pPr>
      <w:r>
        <w:rPr>
          <w:rFonts w:ascii="Arial" w:cs="Arial" w:eastAsia="Arial" w:hAnsi="Arial"/>
          <w:color w:val="1A1A1A"/>
          <w:sz w:val="22"/>
          <w:szCs w:val="22"/>
        </w:rPr>
        <w:t xml:space="preserve">Alcohol: ABC Type 47 (restaurant) or Type 57 (hotel) license — separate approval track</w:t>
      </w:r>
    </w:p>
    <w:p>
      <w:pPr>
        <w:pStyle w:val="Heading3"/>
      </w:pPr>
      <w:r>
        <w:t xml:space="preserve">8.2 Entitlement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Residential</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Hotel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Approval Path</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Increasingly ministerial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Primarily discretionary (CUP)</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Often exempt</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Almost always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330 / HAA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Full protection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Does not apply</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Timeline</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6–18 months (ministerial)</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2–4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Key Opposition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Density, character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Traffic, noise, 24/7 ops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Franchise Timing</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N/A</w:t>
            </w:r>
          </w:p>
        </w:tc>
        <w:tc>
          <w:tcPr>
            <w:tcW w:type="dxa" w:w="348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Must align with entitlement</w:t>
            </w:r>
          </w:p>
        </w:tc>
      </w:tr>
    </w:tbl>
    <w:p>
      <w:pPr>
        <w:pStyle w:val="Heading3"/>
      </w:pPr>
      <w:r>
        <w:t xml:space="preserve">8.3 ABC Liquor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License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Use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Type 47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Full bar with meals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Bona fide eating place; 51%+ food revenue</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Type 57</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 rooms + lounges</w:t>
            </w:r>
          </w:p>
        </w:tc>
        <w:tc>
          <w:tcPr>
            <w:tcW w:type="dxa" w:w="4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Hotels only; minibars + service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Type 48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Bar without meals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Standalone bars, rooftop bars</w:t>
            </w:r>
          </w:p>
        </w:tc>
      </w:tr>
    </w:tbl>
    <w:p>
      <w:pPr>
        <w:pStyle w:val="Heading2"/>
      </w:pPr>
      <w:r>
        <w:t xml:space="preserve">Chapter 9: Franchise &amp; Brand Standards</w:t>
      </w:r>
    </w:p>
    <w:p>
      <w:pPr>
        <w:pStyle w:val="Heading3"/>
      </w:pPr>
      <w:r>
        <w:t xml:space="preserve">9.1 Agreement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Typical Range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Negotiability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Initial Fee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$50K–$100K+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Moderate</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Royalty</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4–6% gross room revenue</w:t>
            </w:r>
          </w:p>
        </w:tc>
        <w:tc>
          <w:tcPr>
            <w:tcW w:type="dxa" w:w="3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Marketing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2–4% gross room revenue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Low</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PIP Cycle</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Every 6–7 years; $10K–$30K/key</w:t>
            </w:r>
          </w:p>
        </w:tc>
        <w:tc>
          <w:tcPr>
            <w:tcW w:type="dxa" w:w="3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Moderate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Key Money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$5K–$20K/key for select brands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High in desirable markets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Term Length</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15–25 years</w:t>
            </w:r>
          </w:p>
        </w:tc>
        <w:tc>
          <w:tcPr>
            <w:tcW w:type="dxa" w:w="3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Moderate</w:t>
            </w:r>
          </w:p>
        </w:tc>
      </w:tr>
    </w:tbl>
    <w:p>
      <w:pPr>
        <w:pStyle w:val="Heading3"/>
      </w:pPr>
      <w:r>
        <w:t xml:space="preserve">9.2 Brand Standards &amp;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Examples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Room Size</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Modular Suitability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Economy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Fairfield, Hampton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300–350 SF</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Excellent — standardized</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Select-Service</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Courtyard, AC, Moxy</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250–325 SF</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Excellent — pre-approved prototypes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Upper Upscale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Marriott, Hilton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375–450 SF</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Limited — custom design</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Luxury</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Ritz-Carlton, St. Regis</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500–700+ SF</w:t>
            </w:r>
          </w:p>
        </w:tc>
        <w:tc>
          <w:tcPr>
            <w:tcW w:type="dxa" w:w="31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Minimal — fully custom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Lifestyle/Boutique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citizenM, Moxy, AC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150–250 SF</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Ideal — compact + repetitive</w:t>
            </w:r>
          </w:p>
        </w:tc>
      </w:tr>
    </w:tbl>
    <w:p>
      <w:r>
        <w:br w:type="page"/>
      </w:r>
    </w:p>
    <w:p>
      <w:pPr>
        <w:pStyle w:val="Heading1"/>
      </w:pPr>
      <w:r>
        <w:t xml:space="preserve">Part VI: Modular &amp; Prefabricated Construction</w:t>
      </w:r>
    </w:p>
    <w:p>
      <w:pPr>
        <w:pStyle w:val="Heading2"/>
      </w:pPr>
      <w:r>
        <w:t xml:space="preserve">Chapter 10: Modular Fundamentals</w:t>
      </w:r>
    </w:p>
    <w:p>
      <w:pPr>
        <w:pStyle w:val="Heading3"/>
      </w:pPr>
      <w:r>
        <w:t xml:space="preserve">10.1 Modular Typology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Schedule Savings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Volumetric</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 3D rooms; shipped and stacked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25–50% faster</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Panelized</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2D panels assembled on-site</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15–25% faster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Hybrid</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 rooms on conventional podium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20–40% faster</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Bathroom Pods</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Pre-assembled baths in conventional frame</w:t>
            </w:r>
          </w:p>
        </w:tc>
        <w:tc>
          <w:tcPr>
            <w:tcW w:type="dxa" w:w="29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Reduces MEP 30–40%</w:t>
            </w:r>
          </w:p>
        </w:tc>
      </w:tr>
    </w:tbl>
    <w:p>
      <w:pPr>
        <w:pStyle w:val="Heading3"/>
      </w:pPr>
      <w:r>
        <w:t xml:space="preserve">10.2 Structural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0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Height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Seismic</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CFS Frame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5–8 stories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Good with bracing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Mid-rise; most cost-effective</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Hot-Rolled Steel</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 limit</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Excellent</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High-rise modular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Concrete Podium + Modular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5–6 over 1–4 concrete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Concrete absorbs lateral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Most common hybrid</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CLT / Mass Timber</w:t>
            </w:r>
          </w:p>
        </w:tc>
        <w:tc>
          <w:tcPr>
            <w:tcW w:type="dxa" w:w="1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Up to 18 stories</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Emerging</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Sustainability premium</w:t>
            </w:r>
          </w:p>
        </w:tc>
      </w:tr>
    </w:tbl>
    <w:p>
      <w:pPr>
        <w:pStyle w:val="Heading3"/>
      </w:pPr>
      <w:r>
        <w:t xml:space="preserve">10.3 Transport Constraints</w:t>
      </w:r>
    </w:p>
    <w:p>
      <w:pPr>
        <w:pStyle w:val="ListParagraph"/>
        <w:numPr>
          <w:ilvl w:val="0"/>
          <w:numId w:val="7"/>
        </w:numPr>
      </w:pPr>
      <w:r>
        <w:rPr>
          <w:rFonts w:ascii="Arial" w:cs="Arial" w:eastAsia="Arial" w:hAnsi="Arial"/>
          <w:color w:val="1A1A1A"/>
          <w:sz w:val="22"/>
          <w:szCs w:val="22"/>
        </w:rPr>
        <w:t xml:space="preserve">Road width: 14 ft standard, 16 ft with wide-load permit (California)</w:t>
      </w:r>
    </w:p>
    <w:p>
      <w:pPr>
        <w:pStyle w:val="ListParagraph"/>
        <w:numPr>
          <w:ilvl w:val="0"/>
          <w:numId w:val="8"/>
        </w:numPr>
      </w:pPr>
      <w:r>
        <w:rPr>
          <w:rFonts w:ascii="Arial" w:cs="Arial" w:eastAsia="Arial" w:hAnsi="Arial"/>
          <w:color w:val="1A1A1A"/>
          <w:sz w:val="22"/>
          <w:szCs w:val="22"/>
        </w:rPr>
        <w:t xml:space="preserve">Road height: 14 ft maximum</w:t>
      </w:r>
    </w:p>
    <w:p>
      <w:pPr>
        <w:pStyle w:val="ListParagraph"/>
        <w:numPr>
          <w:ilvl w:val="0"/>
          <w:numId w:val="8"/>
        </w:numPr>
      </w:pPr>
      <w:r>
        <w:rPr>
          <w:rFonts w:ascii="Arial" w:cs="Arial" w:eastAsia="Arial" w:hAnsi="Arial"/>
          <w:color w:val="1A1A1A"/>
          <w:sz w:val="22"/>
          <w:szCs w:val="22"/>
        </w:rPr>
        <w:t xml:space="preserve">Length: 60–75 ft with permit</w:t>
      </w:r>
    </w:p>
    <w:p>
      <w:pPr>
        <w:pStyle w:val="ListParagraph"/>
        <w:numPr>
          <w:ilvl w:val="0"/>
          <w:numId w:val="8"/>
        </w:numPr>
      </w:pPr>
      <w:r>
        <w:rPr>
          <w:rFonts w:ascii="Arial" w:cs="Arial" w:eastAsia="Arial" w:hAnsi="Arial"/>
          <w:color w:val="1A1A1A"/>
          <w:sz w:val="22"/>
          <w:szCs w:val="22"/>
        </w:rPr>
        <w:t xml:space="preserve">Weight: ~40,000–45,000 lbs per module (road); 44,000 lbs (ocean container)</w:t>
      </w:r>
    </w:p>
    <w:p>
      <w:pPr>
        <w:pStyle w:val="ListParagraph"/>
        <w:numPr>
          <w:ilvl w:val="0"/>
          <w:numId w:val="8"/>
        </w:numPr>
      </w:pPr>
      <w:r>
        <w:rPr>
          <w:rFonts w:ascii="Arial" w:cs="Arial" w:eastAsia="Arial" w:hAnsi="Arial"/>
          <w:color w:val="1A1A1A"/>
          <w:sz w:val="22"/>
          <w:szCs w:val="22"/>
        </w:rPr>
        <w:t xml:space="preserve">citizenM modules: 48 ft x 8 ft x 9 ft (two rooms + corridor)</w:t>
      </w:r>
    </w:p>
    <w:p>
      <w:pPr>
        <w:pStyle w:val="ListParagraph"/>
        <w:numPr>
          <w:ilvl w:val="0"/>
          <w:numId w:val="8"/>
        </w:numPr>
      </w:pPr>
      <w:r>
        <w:rPr>
          <w:rFonts w:ascii="Arial" w:cs="Arial" w:eastAsia="Arial" w:hAnsi="Arial"/>
          <w:color w:val="1A1A1A"/>
          <w:sz w:val="22"/>
          <w:szCs w:val="22"/>
        </w:rPr>
        <w:t xml:space="preserve">Marriott modules: 12–14 ft wide x 30–60 ft long</w:t>
      </w:r>
    </w:p>
    <w:p>
      <w:pPr>
        <w:pStyle w:val="Heading2"/>
      </w:pPr>
      <w:r>
        <w:t xml:space="preserve">Chapter 11: Marriott Modular Program</w:t>
      </w:r>
    </w:p>
    <w:p>
      <w:pPr>
        <w:pStyle w:val="Heading3"/>
      </w:pPr>
      <w:r>
        <w:t xml:space="preserve">11.1 Pre-Approved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000"/>
        <w:gridCol w:w="2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Brand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Keys</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Modular Fit</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Prototype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Fairfield Inn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80–120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Excellent — highly standardized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Yes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Courtyard</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120–180</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Excellent — select-service</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SpringHill Suites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100–150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Good — larger rooms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Yes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TownePlace Suites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90–130</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Good — extended stay</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AC Hotels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150–200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Excellent — compact lifestyle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Yes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Moxy Hotels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150–250</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Excellent — smallest rooms</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Yes</w:t>
            </w:r>
          </w:p>
        </w:tc>
      </w:tr>
    </w:tbl>
    <w:p>
      <w:pPr>
        <w:pStyle w:val="Heading3"/>
      </w:pPr>
      <w:r>
        <w:t xml:space="preserve">11.2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Conventional</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Modular</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Delta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Schedule (120-key)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18–21 months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12–15 months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 to -6 months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Site Labor</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Baseline</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30–50% fewer workers</w:t>
            </w:r>
          </w:p>
        </w:tc>
        <w:tc>
          <w:tcPr>
            <w:tcW w:type="dxa" w:w="2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Safety improvement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Change Orders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3–5% of contract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&lt;1%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Cost predictability</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Punch List</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Standard</w:t>
            </w:r>
          </w:p>
        </w:tc>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50–70% fewer</w:t>
            </w:r>
          </w:p>
        </w:tc>
        <w:tc>
          <w:tcPr>
            <w:tcW w:type="dxa" w:w="2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Faster occupancy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Waste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Baseline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30–40% less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Sustainability</w:t>
            </w:r>
          </w:p>
        </w:tc>
      </w:tr>
    </w:tbl>
    <w:p>
      <w:pPr>
        <w:pStyle w:val="Heading3"/>
      </w:pPr>
      <w:r>
        <w:t xml:space="preserve">11.3 Pre-Approved Suppliers</w:t>
      </w:r>
    </w:p>
    <w:p>
      <w:pPr>
        <w:spacing w:before="80" w:after="80"/>
      </w:pPr>
      <w:r>
        <w:rPr>
          <w:rFonts w:ascii="Arial" w:cs="Arial" w:eastAsia="Arial" w:hAnsi="Arial"/>
          <w:color w:val="1A1A1A"/>
          <w:sz w:val="22"/>
          <w:szCs w:val="22"/>
        </w:rPr>
        <w:t xml:space="preserve">Guerdon Modular Buildings (Boise, ID), Champion Commercial Structures (Detroit, MI), Oldcastle Surepods (Orange County, FL — bathroom pods). Marriott offers key money incentives for qualifying modular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CFS + Marriott Strategy</w:t>
            </w:r>
          </w:p>
          <w:p>
            <w:r>
              <w:rPr>
                <w:rFonts w:ascii="Arial" w:cs="Arial" w:eastAsia="Arial" w:hAnsi="Arial"/>
                <w:color w:val="2E4057"/>
                <w:sz w:val="20"/>
                <w:szCs w:val="20"/>
              </w:rPr>
              <w:t xml:space="preserve">Your CFS expertise, Chinese steel fabrication supply chain, and Marriott’s modular program create a differentiated value proposition. Position SVDen for Marriott modular projects using CFS structural systems with Asian-sourced steel components.</w:t>
            </w:r>
          </w:p>
        </w:tc>
      </w:tr>
    </w:tbl>
    <w:p>
      <w:pPr>
        <w:pStyle w:val="Heading2"/>
      </w:pPr>
      <w:r>
        <w:t xml:space="preserve">Chapter 12: citizenM Volumetric System</w:t>
      </w:r>
    </w:p>
    <w:p>
      <w:pPr>
        <w:pStyle w:val="Heading3"/>
      </w:pPr>
      <w:r>
        <w:t xml:space="preserve">12.1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Spec</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citizenM Standard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Room Size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150–160 SF (king bed)</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Module</w:t>
            </w:r>
          </w:p>
        </w:tc>
        <w:tc>
          <w:tcPr>
            <w:tcW w:type="dxa" w:w="6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48 ft x 8 ft x 9 ft (2 rooms + corridor)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Weight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~40,000 lbs per module</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Structure</w:t>
            </w:r>
          </w:p>
        </w:tc>
        <w:tc>
          <w:tcPr>
            <w:tcW w:type="dxa" w:w="6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Steel frame on concrete podium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Manufacturer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Polcom (Poland); CIMC (China)</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Podium</w:t>
            </w:r>
          </w:p>
        </w:tc>
        <w:tc>
          <w:tcPr>
            <w:tcW w:type="dxa" w:w="6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2–4 story concrete (lobby, F&amp;B, amenities)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Stack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5–9 modular floors above podium</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Connections</w:t>
            </w:r>
          </w:p>
        </w:tc>
        <w:tc>
          <w:tcPr>
            <w:tcW w:type="dxa" w:w="6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Hollo-Bolt countersunk; module-to-module bearing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Lateral System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Concrete shear core + BRB frames</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Facade</w:t>
            </w:r>
          </w:p>
        </w:tc>
        <w:tc>
          <w:tcPr>
            <w:tcW w:type="dxa" w:w="6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Factory-applied panels per module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Pre-installed; central riser shaft per floor</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Assembly Rate</w:t>
            </w:r>
          </w:p>
        </w:tc>
        <w:tc>
          <w:tcPr>
            <w:tcW w:type="dxa" w:w="6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 floor/week after learning curve</w:t>
            </w:r>
          </w:p>
        </w:tc>
      </w:tr>
    </w:tbl>
    <w:p>
      <w:pPr>
        <w:pStyle w:val="Heading3"/>
      </w:pPr>
      <w:r>
        <w:t xml:space="preserve">12.2 Project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1000"/>
        <w:gridCol w:w="4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Project</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Keys</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Stories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Modules</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citizenM Bowery NYC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Polcom (Poland)</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citizenM DTLA</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315</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11</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225+</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CIMC (China)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citizenM Seattle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264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228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Polcom (Poland)</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citizenM Menlo Park</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240</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160+</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CIMC (China)</w:t>
            </w:r>
          </w:p>
        </w:tc>
      </w:tr>
    </w:tbl>
    <w:p>
      <w:pPr>
        <w:pStyle w:val="Heading3"/>
      </w:pPr>
      <w:r>
        <w:t xml:space="preserve">12.3 California Seismic Engineering</w:t>
      </w:r>
    </w:p>
    <w:p>
      <w:pPr>
        <w:spacing w:before="80" w:after="80"/>
      </w:pPr>
      <w:r>
        <w:rPr>
          <w:rFonts w:ascii="Arial" w:cs="Arial" w:eastAsia="Arial" w:hAnsi="Arial"/>
          <w:color w:val="1A1A1A"/>
          <w:sz w:val="22"/>
          <w:szCs w:val="22"/>
        </w:rPr>
        <w:t xml:space="preserve">The citizenM DTLA used reinforced concrete core with buckling-restrained brace frames. Modules designed for dual performance: stiff enough to protect interiors during shipping, flexible enough for seismic loads when stacked. This dual requirement is the key engineering challenge for modular in California high-seismic zones. The Menlo Park project, on Meta’s campus, assembled all 160+ modules in just two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6"/>
              <w:left w:val="none" w:sz="0"/>
              <w:bottom w:val="none" w:sz="0"/>
              <w:right w:val="none" w:sz="0"/>
            </w:tcBorders>
            <w:shd w:fill="EDF2F7" w:val="clear"/>
            <w:tcMar>
              <w:top w:type="dxa" w:w="120"/>
              <w:left w:type="dxa" w:w="200"/>
              <w:bottom w:type="dxa" w:w="120"/>
              <w:right w:type="dxa" w:w="200"/>
            </w:tcMar>
          </w:tcPr>
          <w:p>
            <w:pPr>
              <w:spacing w:after="40"/>
            </w:pPr>
            <w:r>
              <w:rPr>
                <w:rFonts w:ascii="Arial" w:cs="Arial" w:eastAsia="Arial" w:hAnsi="Arial"/>
                <w:b/>
                <w:bCs/>
                <w:color w:val="3B7DD8"/>
                <w:sz w:val="22"/>
                <w:szCs w:val="22"/>
              </w:rPr>
              <w:t xml:space="preserve">citizenM + SVDen Opportunity</w:t>
            </w:r>
          </w:p>
          <w:p>
            <w:r>
              <w:rPr>
                <w:rFonts w:ascii="Arial" w:cs="Arial" w:eastAsia="Arial" w:hAnsi="Arial"/>
                <w:color w:val="2E4057"/>
                <w:sz w:val="20"/>
                <w:szCs w:val="20"/>
              </w:rPr>
              <w:t xml:space="preserve">The citizenM Menlo Park hotel is in your project area. Their model — Chinese-manufactured modules, steel frame on concrete podium, compact luxury rooms — aligns with your CFS/prefab expertise and Asian supply chain. Study as a template for Hawaii and Belize hotel concepts.</w:t>
            </w:r>
          </w:p>
        </w:tc>
      </w:tr>
    </w:tbl>
    <w:p>
      <w:r>
        <w:br w:type="page"/>
      </w:r>
    </w:p>
    <w:p>
      <w:pPr>
        <w:pStyle w:val="Heading1"/>
      </w:pPr>
      <w:r>
        <w:t xml:space="preserve">Part VII: Technical Due Diligence</w:t>
      </w:r>
    </w:p>
    <w:p>
      <w:pPr>
        <w:pStyle w:val="Heading2"/>
      </w:pPr>
      <w:r>
        <w:t xml:space="preserve">Chapter 13: Title, Survey &amp; Geotech</w:t>
      </w:r>
    </w:p>
    <w:p>
      <w:pPr>
        <w:pStyle w:val="Heading3"/>
      </w:pPr>
      <w:r>
        <w:t xml:space="preserve">13.1 Title Report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Items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CC&amp;Rs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 restrictions, architectural controls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Med–High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Check conflicts with proposed use</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Easements</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Utility, access, drainage, view</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High</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Plot on site plan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Liens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Tax, mechanic’s, judgment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Critical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Clear before closing</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Deed Restrictions</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Height, use, setback limits</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High</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May need quiet title</w:t>
            </w:r>
          </w:p>
        </w:tc>
      </w:tr>
    </w:tbl>
    <w:p>
      <w:pPr>
        <w:pStyle w:val="Heading3"/>
      </w:pPr>
      <w:r>
        <w:t xml:space="preserve">13.2 Geotechnical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Look For</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Hotel-Specific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Soil Profile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USCS class, bedrock depth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Larger footprint = more variability</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Groundwater</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High water table</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Underground parking dewatering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Bearing Capacity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psf allowable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Higher modular stacking loads</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Liquefaction</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FOS, settlement</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Full-block sites need ground improvement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Seismic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Site class, spectral accel.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 connections must transfer loads</w:t>
            </w:r>
          </w:p>
        </w:tc>
      </w:tr>
    </w:tbl>
    <w:p>
      <w:pPr>
        <w:pStyle w:val="Heading3"/>
      </w:pPr>
      <w:r>
        <w:t xml:space="preserve">13.3 Civil / Stormwater</w:t>
      </w:r>
    </w:p>
    <w:p>
      <w:pPr>
        <w:spacing w:before="80" w:after="80"/>
      </w:pPr>
      <w:r>
        <w:rPr>
          <w:rFonts w:ascii="Arial" w:cs="Arial" w:eastAsia="Arial" w:hAnsi="Arial"/>
          <w:color w:val="1A1A1A"/>
          <w:sz w:val="22"/>
          <w:szCs w:val="22"/>
        </w:rPr>
        <w:t xml:space="preserve">Bay Area C.3 provision requires stormwater treatment for projects creating 10,000+ SF impervious surface. Hotels have large impervious footprints. Budget 5–10% of site area for bioretention. Additional hotel requirements: grease interceptors, oil/water separators, fire access, loading dock design, generator fuel containment.</w:t>
      </w:r>
    </w:p>
    <w:p>
      <w:pPr>
        <w:pStyle w:val="Heading3"/>
      </w:pPr>
      <w:r>
        <w:t xml:space="preserve">13.4 Phase I 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Likely release or threat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Phase II investigation</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CREC</w:t>
            </w:r>
          </w:p>
        </w:tc>
        <w:tc>
          <w:tcPr>
            <w:tcW w:type="dxa" w:w="4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Past release with controls</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Evaluate; may affect design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HREC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Addressed to standards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Document; no action</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 Minimis</w:t>
            </w:r>
          </w:p>
        </w:tc>
        <w:tc>
          <w:tcPr>
            <w:tcW w:type="dxa" w:w="4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Unlikely issue</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Note in file</w:t>
            </w:r>
          </w:p>
        </w:tc>
      </w:tr>
    </w:tbl>
    <w:p>
      <w:r>
        <w:br w:type="page"/>
      </w:r>
    </w:p>
    <w:p>
      <w:pPr>
        <w:pStyle w:val="Heading1"/>
      </w:pPr>
      <w:r>
        <w:t xml:space="preserve">Part VIII: Technical Tools</w:t>
      </w:r>
    </w:p>
    <w:p>
      <w:pPr>
        <w:pStyle w:val="Heading2"/>
      </w:pPr>
      <w:r>
        <w:t xml:space="preserve">Chapter 14: Revit BIM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000"/>
        <w:gridCol w:w="35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Hours</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Focus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Skills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Fundamentals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Interface, views, families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Navigate any model</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Architectural</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20–25</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Walls, floors, roofs, schedules</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Create residential models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Structural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CFS/ICF, foundations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Model modular systems</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MEP</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8–10</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HVAC, plumbing, electrical</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Identify clashes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Collaboration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Worksharing, Navisworks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Coordination reviews</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Hotel/Modular</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10–15</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Room prototypes, stacking</w:t>
            </w:r>
          </w:p>
        </w:tc>
        <w:tc>
          <w:tcPr>
            <w:tcW w:type="dxa" w:w="35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Brand prototype BIM</w:t>
            </w:r>
          </w:p>
        </w:tc>
      </w:tr>
    </w:tbl>
    <w:p>
      <w:pPr>
        <w:pStyle w:val="Heading3"/>
      </w:pPr>
      <w:r>
        <w:t xml:space="preserve">14.1 BIM for Modular</w:t>
      </w:r>
    </w:p>
    <w:p>
      <w:pPr>
        <w:spacing w:before="80" w:after="80"/>
      </w:pPr>
      <w:r>
        <w:rPr>
          <w:rFonts w:ascii="Arial" w:cs="Arial" w:eastAsia="Arial" w:hAnsi="Arial"/>
          <w:color w:val="1A1A1A"/>
          <w:sz w:val="22"/>
          <w:szCs w:val="22"/>
        </w:rPr>
        <w:t xml:space="preserve">Modular is inherently BIM-intensive: factory needs precise digital models for manufacturing. Key workflows include module family creation, MEP coordination within confined envelopes, clash detection between modules and base building, and logistics modeling for crane placement and stacking sequence.</w:t>
      </w:r>
    </w:p>
    <w:p>
      <w:pPr>
        <w:pStyle w:val="Heading2"/>
      </w:pPr>
      <w:r>
        <w:t xml:space="preserve">Chapter 15: AutoCAD &amp; GIS</w:t>
      </w:r>
    </w:p>
    <w:p>
      <w:pPr>
        <w:pStyle w:val="Heading3"/>
      </w:pPr>
      <w:r>
        <w:t xml:space="preserve">15.1 GIS Site Analysis Protocol</w:t>
      </w:r>
    </w:p>
    <w:p>
      <w:pPr>
        <w:pStyle w:val="ListParagraph"/>
        <w:numPr>
          <w:ilvl w:val="0"/>
          <w:numId w:val="4"/>
        </w:numPr>
      </w:pPr>
      <w:r>
        <w:rPr>
          <w:rFonts w:ascii="Arial" w:cs="Arial" w:eastAsia="Arial" w:hAnsi="Arial"/>
          <w:color w:val="1A1A1A"/>
          <w:sz w:val="22"/>
          <w:szCs w:val="22"/>
        </w:rPr>
        <w:t xml:space="preserve">Parcel boundaries, size (County GIS)</w:t>
      </w:r>
    </w:p>
    <w:p>
      <w:pPr>
        <w:pStyle w:val="ListParagraph"/>
        <w:numPr>
          <w:ilvl w:val="0"/>
          <w:numId w:val="9"/>
        </w:numPr>
      </w:pPr>
      <w:r>
        <w:rPr>
          <w:rFonts w:ascii="Arial" w:cs="Arial" w:eastAsia="Arial" w:hAnsi="Arial"/>
          <w:color w:val="1A1A1A"/>
          <w:sz w:val="22"/>
          <w:szCs w:val="22"/>
        </w:rPr>
        <w:t xml:space="preserve">General Plan + zoning (City GIS)</w:t>
      </w:r>
    </w:p>
    <w:p>
      <w:pPr>
        <w:pStyle w:val="ListParagraph"/>
        <w:numPr>
          <w:ilvl w:val="0"/>
          <w:numId w:val="9"/>
        </w:numPr>
      </w:pPr>
      <w:r>
        <w:rPr>
          <w:rFonts w:ascii="Arial" w:cs="Arial" w:eastAsia="Arial" w:hAnsi="Arial"/>
          <w:color w:val="1A1A1A"/>
          <w:sz w:val="22"/>
          <w:szCs w:val="22"/>
        </w:rPr>
        <w:t xml:space="preserve">FEMA flood zone</w:t>
      </w:r>
    </w:p>
    <w:p>
      <w:pPr>
        <w:pStyle w:val="ListParagraph"/>
        <w:numPr>
          <w:ilvl w:val="0"/>
          <w:numId w:val="9"/>
        </w:numPr>
      </w:pPr>
      <w:r>
        <w:rPr>
          <w:rFonts w:ascii="Arial" w:cs="Arial" w:eastAsia="Arial" w:hAnsi="Arial"/>
          <w:color w:val="1A1A1A"/>
          <w:sz w:val="22"/>
          <w:szCs w:val="22"/>
        </w:rPr>
        <w:t xml:space="preserve">Alquist-Priolo fault zone (CGS)</w:t>
      </w:r>
    </w:p>
    <w:p>
      <w:pPr>
        <w:pStyle w:val="ListParagraph"/>
        <w:numPr>
          <w:ilvl w:val="0"/>
          <w:numId w:val="9"/>
        </w:numPr>
      </w:pPr>
      <w:r>
        <w:rPr>
          <w:rFonts w:ascii="Arial" w:cs="Arial" w:eastAsia="Arial" w:hAnsi="Arial"/>
          <w:color w:val="1A1A1A"/>
          <w:sz w:val="22"/>
          <w:szCs w:val="22"/>
        </w:rPr>
        <w:t xml:space="preserve">Liquefaction/landslide zones (CGS)</w:t>
      </w:r>
    </w:p>
    <w:p>
      <w:pPr>
        <w:pStyle w:val="ListParagraph"/>
        <w:numPr>
          <w:ilvl w:val="0"/>
          <w:numId w:val="9"/>
        </w:numPr>
      </w:pPr>
      <w:r>
        <w:rPr>
          <w:rFonts w:ascii="Arial" w:cs="Arial" w:eastAsia="Arial" w:hAnsi="Arial"/>
          <w:color w:val="1A1A1A"/>
          <w:sz w:val="22"/>
          <w:szCs w:val="22"/>
        </w:rPr>
        <w:t xml:space="preserve">Fire hazard severity (CAL FIRE)</w:t>
      </w:r>
    </w:p>
    <w:p>
      <w:pPr>
        <w:pStyle w:val="ListParagraph"/>
        <w:numPr>
          <w:ilvl w:val="0"/>
          <w:numId w:val="9"/>
        </w:numPr>
      </w:pPr>
      <w:r>
        <w:rPr>
          <w:rFonts w:ascii="Arial" w:cs="Arial" w:eastAsia="Arial" w:hAnsi="Arial"/>
          <w:color w:val="1A1A1A"/>
          <w:sz w:val="22"/>
          <w:szCs w:val="22"/>
        </w:rPr>
        <w:t xml:space="preserve">Contamination (EnviroStor, GeoTracker)</w:t>
      </w:r>
    </w:p>
    <w:p>
      <w:pPr>
        <w:pStyle w:val="ListParagraph"/>
        <w:numPr>
          <w:ilvl w:val="0"/>
          <w:numId w:val="9"/>
        </w:numPr>
      </w:pPr>
      <w:r>
        <w:rPr>
          <w:rFonts w:ascii="Arial" w:cs="Arial" w:eastAsia="Arial" w:hAnsi="Arial"/>
          <w:color w:val="1A1A1A"/>
          <w:sz w:val="22"/>
          <w:szCs w:val="22"/>
        </w:rPr>
        <w:t xml:space="preserve">Wetlands (NWI)</w:t>
      </w:r>
    </w:p>
    <w:p>
      <w:pPr>
        <w:pStyle w:val="ListParagraph"/>
        <w:numPr>
          <w:ilvl w:val="0"/>
          <w:numId w:val="9"/>
        </w:numPr>
      </w:pPr>
      <w:r>
        <w:rPr>
          <w:rFonts w:ascii="Arial" w:cs="Arial" w:eastAsia="Arial" w:hAnsi="Arial"/>
          <w:color w:val="1A1A1A"/>
          <w:sz w:val="22"/>
          <w:szCs w:val="22"/>
        </w:rPr>
        <w:t xml:space="preserve">CalEnviroScreen EJ screening</w:t>
      </w:r>
    </w:p>
    <w:p>
      <w:pPr>
        <w:pStyle w:val="ListParagraph"/>
        <w:numPr>
          <w:ilvl w:val="0"/>
          <w:numId w:val="9"/>
        </w:numPr>
      </w:pPr>
      <w:r>
        <w:rPr>
          <w:rFonts w:ascii="Arial" w:cs="Arial" w:eastAsia="Arial" w:hAnsi="Arial"/>
          <w:color w:val="1A1A1A"/>
          <w:sz w:val="22"/>
          <w:szCs w:val="22"/>
        </w:rPr>
        <w:t xml:space="preserve">Historic resources inventory</w:t>
      </w:r>
    </w:p>
    <w:p>
      <w:r>
        <w:br w:type="page"/>
      </w:r>
    </w:p>
    <w:p>
      <w:pPr>
        <w:pStyle w:val="Heading1"/>
      </w:pPr>
      <w:r>
        <w:t xml:space="preserve">Part IX: Entitlements &amp; Financial</w:t>
      </w:r>
    </w:p>
    <w:p>
      <w:pPr>
        <w:pStyle w:val="Heading2"/>
      </w:pPr>
      <w:r>
        <w:t xml:space="preserve">Chapter 16: Entitlement Workflows</w:t>
      </w:r>
    </w:p>
    <w:p>
      <w:pPr>
        <w:pStyle w:val="Heading3"/>
      </w:pPr>
      <w:r>
        <w:t xml:space="preserve">16.1 Residential</w:t>
      </w:r>
    </w:p>
    <w:p>
      <w:pPr>
        <w:pStyle w:val="ListParagraph"/>
        <w:numPr>
          <w:ilvl w:val="0"/>
          <w:numId w:val="9"/>
        </w:numPr>
      </w:pPr>
      <w:r>
        <w:rPr>
          <w:rFonts w:ascii="Arial" w:cs="Arial" w:eastAsia="Arial" w:hAnsi="Arial"/>
          <w:color w:val="1A1A1A"/>
          <w:sz w:val="22"/>
          <w:szCs w:val="22"/>
        </w:rPr>
        <w:t xml:space="preserve">Pre-application conference</w:t>
      </w:r>
    </w:p>
    <w:p>
      <w:pPr>
        <w:pStyle w:val="ListParagraph"/>
        <w:numPr>
          <w:ilvl w:val="0"/>
          <w:numId w:val="10"/>
        </w:numPr>
      </w:pPr>
      <w:r>
        <w:rPr>
          <w:rFonts w:ascii="Arial" w:cs="Arial" w:eastAsia="Arial" w:hAnsi="Arial"/>
          <w:color w:val="1A1A1A"/>
          <w:sz w:val="22"/>
          <w:szCs w:val="22"/>
        </w:rPr>
        <w:t xml:space="preserve">File SB 330 preliminary application</w:t>
      </w:r>
    </w:p>
    <w:p>
      <w:pPr>
        <w:pStyle w:val="ListParagraph"/>
        <w:numPr>
          <w:ilvl w:val="0"/>
          <w:numId w:val="10"/>
        </w:numPr>
      </w:pPr>
      <w:r>
        <w:rPr>
          <w:rFonts w:ascii="Arial" w:cs="Arial" w:eastAsia="Arial" w:hAnsi="Arial"/>
          <w:color w:val="1A1A1A"/>
          <w:sz w:val="22"/>
          <w:szCs w:val="22"/>
        </w:rPr>
        <w:t xml:space="preserve">Determine pathway: ministerial vs. discretionary</w:t>
      </w:r>
    </w:p>
    <w:p>
      <w:pPr>
        <w:pStyle w:val="ListParagraph"/>
        <w:numPr>
          <w:ilvl w:val="0"/>
          <w:numId w:val="10"/>
        </w:numPr>
      </w:pPr>
      <w:r>
        <w:rPr>
          <w:rFonts w:ascii="Arial" w:cs="Arial" w:eastAsia="Arial" w:hAnsi="Arial"/>
          <w:color w:val="1A1A1A"/>
          <w:sz w:val="22"/>
          <w:szCs w:val="22"/>
        </w:rPr>
        <w:t xml:space="preserve">Submit application with studies</w:t>
      </w:r>
    </w:p>
    <w:p>
      <w:pPr>
        <w:pStyle w:val="ListParagraph"/>
        <w:numPr>
          <w:ilvl w:val="0"/>
          <w:numId w:val="10"/>
        </w:numPr>
      </w:pPr>
      <w:r>
        <w:rPr>
          <w:rFonts w:ascii="Arial" w:cs="Arial" w:eastAsia="Arial" w:hAnsi="Arial"/>
          <w:color w:val="1A1A1A"/>
          <w:sz w:val="22"/>
          <w:szCs w:val="22"/>
        </w:rPr>
        <w:t xml:space="preserve">Completeness review (30 days PSA)</w:t>
      </w:r>
    </w:p>
    <w:p>
      <w:pPr>
        <w:pStyle w:val="ListParagraph"/>
        <w:numPr>
          <w:ilvl w:val="0"/>
          <w:numId w:val="10"/>
        </w:numPr>
      </w:pPr>
      <w:r>
        <w:rPr>
          <w:rFonts w:ascii="Arial" w:cs="Arial" w:eastAsia="Arial" w:hAnsi="Arial"/>
          <w:color w:val="1A1A1A"/>
          <w:sz w:val="22"/>
          <w:szCs w:val="22"/>
        </w:rPr>
        <w:t xml:space="preserve">CEQA determination</w:t>
      </w:r>
    </w:p>
    <w:p>
      <w:pPr>
        <w:pStyle w:val="ListParagraph"/>
        <w:numPr>
          <w:ilvl w:val="0"/>
          <w:numId w:val="10"/>
        </w:numPr>
      </w:pPr>
      <w:r>
        <w:rPr>
          <w:rFonts w:ascii="Arial" w:cs="Arial" w:eastAsia="Arial" w:hAnsi="Arial"/>
          <w:color w:val="1A1A1A"/>
          <w:sz w:val="22"/>
          <w:szCs w:val="22"/>
        </w:rPr>
        <w:t xml:space="preserve">Public hearings (max 5 under SB 330)</w:t>
      </w:r>
    </w:p>
    <w:p>
      <w:pPr>
        <w:pStyle w:val="ListParagraph"/>
        <w:numPr>
          <w:ilvl w:val="0"/>
          <w:numId w:val="10"/>
        </w:numPr>
      </w:pPr>
      <w:r>
        <w:rPr>
          <w:rFonts w:ascii="Arial" w:cs="Arial" w:eastAsia="Arial" w:hAnsi="Arial"/>
          <w:color w:val="1A1A1A"/>
          <w:sz w:val="22"/>
          <w:szCs w:val="22"/>
        </w:rPr>
        <w:t xml:space="preserve">Negotiate conditions</w:t>
      </w:r>
    </w:p>
    <w:p>
      <w:pPr>
        <w:pStyle w:val="ListParagraph"/>
        <w:numPr>
          <w:ilvl w:val="0"/>
          <w:numId w:val="10"/>
        </w:numPr>
      </w:pPr>
      <w:r>
        <w:rPr>
          <w:rFonts w:ascii="Arial" w:cs="Arial" w:eastAsia="Arial" w:hAnsi="Arial"/>
          <w:color w:val="1A1A1A"/>
          <w:sz w:val="22"/>
          <w:szCs w:val="22"/>
        </w:rPr>
        <w:t xml:space="preserve">Building permit</w:t>
      </w:r>
    </w:p>
    <w:p>
      <w:pPr>
        <w:pStyle w:val="Heading3"/>
      </w:pPr>
      <w:r>
        <w:t xml:space="preserve">16.2 Hotel</w:t>
      </w:r>
    </w:p>
    <w:p>
      <w:pPr>
        <w:pStyle w:val="ListParagraph"/>
        <w:numPr>
          <w:ilvl w:val="0"/>
          <w:numId w:val="10"/>
        </w:numPr>
      </w:pPr>
      <w:r>
        <w:rPr>
          <w:rFonts w:ascii="Arial" w:cs="Arial" w:eastAsia="Arial" w:hAnsi="Arial"/>
          <w:color w:val="1A1A1A"/>
          <w:sz w:val="22"/>
          <w:szCs w:val="22"/>
        </w:rPr>
        <w:t xml:space="preserve">Market study + brand selection (franchise LOI)</w:t>
      </w:r>
    </w:p>
    <w:p>
      <w:pPr>
        <w:pStyle w:val="ListParagraph"/>
        <w:numPr>
          <w:ilvl w:val="0"/>
          <w:numId w:val="11"/>
        </w:numPr>
      </w:pPr>
      <w:r>
        <w:rPr>
          <w:rFonts w:ascii="Arial" w:cs="Arial" w:eastAsia="Arial" w:hAnsi="Arial"/>
          <w:color w:val="1A1A1A"/>
          <w:sz w:val="22"/>
          <w:szCs w:val="22"/>
        </w:rPr>
        <w:t xml:space="preserve">Pre-application — critical for CUP complexity</w:t>
      </w:r>
    </w:p>
    <w:p>
      <w:pPr>
        <w:pStyle w:val="ListParagraph"/>
        <w:numPr>
          <w:ilvl w:val="0"/>
          <w:numId w:val="11"/>
        </w:numPr>
      </w:pPr>
      <w:r>
        <w:rPr>
          <w:rFonts w:ascii="Arial" w:cs="Arial" w:eastAsia="Arial" w:hAnsi="Arial"/>
          <w:color w:val="1A1A1A"/>
          <w:sz w:val="22"/>
          <w:szCs w:val="22"/>
        </w:rPr>
        <w:t xml:space="preserve">Site plan with brand building program</w:t>
      </w:r>
    </w:p>
    <w:p>
      <w:pPr>
        <w:pStyle w:val="ListParagraph"/>
        <w:numPr>
          <w:ilvl w:val="0"/>
          <w:numId w:val="11"/>
        </w:numPr>
      </w:pPr>
      <w:r>
        <w:rPr>
          <w:rFonts w:ascii="Arial" w:cs="Arial" w:eastAsia="Arial" w:hAnsi="Arial"/>
          <w:color w:val="1A1A1A"/>
          <w:sz w:val="22"/>
          <w:szCs w:val="22"/>
        </w:rPr>
        <w:t xml:space="preserve">CUP + traffic, parking, noise studies</w:t>
      </w:r>
    </w:p>
    <w:p>
      <w:pPr>
        <w:pStyle w:val="ListParagraph"/>
        <w:numPr>
          <w:ilvl w:val="0"/>
          <w:numId w:val="11"/>
        </w:numPr>
      </w:pPr>
      <w:r>
        <w:rPr>
          <w:rFonts w:ascii="Arial" w:cs="Arial" w:eastAsia="Arial" w:hAnsi="Arial"/>
          <w:color w:val="1A1A1A"/>
          <w:sz w:val="22"/>
          <w:szCs w:val="22"/>
        </w:rPr>
        <w:t xml:space="preserve">CEQA (likely MND or EIR)</w:t>
      </w:r>
    </w:p>
    <w:p>
      <w:pPr>
        <w:pStyle w:val="ListParagraph"/>
        <w:numPr>
          <w:ilvl w:val="0"/>
          <w:numId w:val="11"/>
        </w:numPr>
      </w:pPr>
      <w:r>
        <w:rPr>
          <w:rFonts w:ascii="Arial" w:cs="Arial" w:eastAsia="Arial" w:hAnsi="Arial"/>
          <w:color w:val="1A1A1A"/>
          <w:sz w:val="22"/>
          <w:szCs w:val="22"/>
        </w:rPr>
        <w:t xml:space="preserve">Design review hearing</w:t>
      </w:r>
    </w:p>
    <w:p>
      <w:pPr>
        <w:pStyle w:val="ListParagraph"/>
        <w:numPr>
          <w:ilvl w:val="0"/>
          <w:numId w:val="11"/>
        </w:numPr>
      </w:pPr>
      <w:r>
        <w:rPr>
          <w:rFonts w:ascii="Arial" w:cs="Arial" w:eastAsia="Arial" w:hAnsi="Arial"/>
          <w:color w:val="1A1A1A"/>
          <w:sz w:val="22"/>
          <w:szCs w:val="22"/>
        </w:rPr>
        <w:t xml:space="preserve">Planning Commission CUP hearing</w:t>
      </w:r>
    </w:p>
    <w:p>
      <w:pPr>
        <w:pStyle w:val="ListParagraph"/>
        <w:numPr>
          <w:ilvl w:val="0"/>
          <w:numId w:val="11"/>
        </w:numPr>
      </w:pPr>
      <w:r>
        <w:rPr>
          <w:rFonts w:ascii="Arial" w:cs="Arial" w:eastAsia="Arial" w:hAnsi="Arial"/>
          <w:color w:val="1A1A1A"/>
          <w:sz w:val="22"/>
          <w:szCs w:val="22"/>
        </w:rPr>
        <w:t xml:space="preserve">ABC license (parallel track)</w:t>
      </w:r>
    </w:p>
    <w:p>
      <w:pPr>
        <w:pStyle w:val="ListParagraph"/>
        <w:numPr>
          <w:ilvl w:val="0"/>
          <w:numId w:val="11"/>
        </w:numPr>
      </w:pPr>
      <w:r>
        <w:rPr>
          <w:rFonts w:ascii="Arial" w:cs="Arial" w:eastAsia="Arial" w:hAnsi="Arial"/>
          <w:color w:val="1A1A1A"/>
          <w:sz w:val="22"/>
          <w:szCs w:val="22"/>
        </w:rPr>
        <w:t xml:space="preserve">Building permit + franchise construction doc approval</w:t>
      </w:r>
    </w:p>
    <w:p>
      <w:pPr>
        <w:pStyle w:val="ListParagraph"/>
        <w:numPr>
          <w:ilvl w:val="0"/>
          <w:numId w:val="11"/>
        </w:numPr>
      </w:pPr>
      <w:r>
        <w:rPr>
          <w:rFonts w:ascii="Arial" w:cs="Arial" w:eastAsia="Arial" w:hAnsi="Arial"/>
          <w:color w:val="1A1A1A"/>
          <w:sz w:val="22"/>
          <w:szCs w:val="22"/>
        </w:rPr>
        <w:t xml:space="preserve">Fire marshal + health department</w:t>
      </w:r>
    </w:p>
    <w:p>
      <w:pPr>
        <w:pStyle w:val="Heading2"/>
      </w:pPr>
      <w:r>
        <w:t xml:space="preserve">Chapter 17: Impact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Residential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Hotel</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Basis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School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$4–5/SF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$0.66/SF</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§65995</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Park/Quimby</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$5K–$30K/unit</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N/A</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Gov. Code §66477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Traffic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$5K–$25K/unit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$2K–$8K/key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Local ordinance</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Affordable Housing</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$20–$75/SF</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Varies</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Inclusionary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Sewer/Water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$5K–$20K/unit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$3K–$10K/key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Utility district</w:t>
            </w:r>
          </w:p>
        </w:tc>
      </w:tr>
      <w:tr>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TOT</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N/A</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8–14% room revenue</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Local (ongoing)</w:t>
            </w:r>
          </w:p>
        </w:tc>
      </w:tr>
    </w:tbl>
    <w:p>
      <w:r>
        <w:br w:type="page"/>
      </w:r>
    </w:p>
    <w:p>
      <w:pPr>
        <w:pStyle w:val="Heading1"/>
      </w:pPr>
      <w:r>
        <w:t xml:space="preserve">Appendices</w:t>
      </w:r>
    </w:p>
    <w:p>
      <w:pPr>
        <w:pStyle w:val="Heading2"/>
      </w:pPr>
      <w:r>
        <w:t xml:space="preserve">Appendix A: Statute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Statute</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Applies 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General Plans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§65000–65763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All</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Zoning</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Gov. Code §65800–65912</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Subdivision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§66410–66499.38</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All</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CEQA</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PRC §21000+</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Discretionary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HAA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§65589.5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Housing only</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35</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Gov. Code §65913.4</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Housing only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§65852.21, §66452.6</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SFR lots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330</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Gov. Code §65941.1 et al.</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Housing (thru 2030)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Density Bonus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§65915–65918</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Housing</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ADU</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Gov. Code §65852.2</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Residential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Dev. Agreements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Gov. Code §65864–65869.5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All</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ABC Licensing</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Bus. &amp; Prof. §23000+</w:t>
            </w:r>
          </w:p>
        </w:tc>
        <w:tc>
          <w:tcPr>
            <w:tcW w:type="dxa" w:w="3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Alcohol service</w:t>
            </w:r>
          </w:p>
        </w:tc>
      </w:tr>
    </w:tbl>
    <w:p>
      <w:pPr>
        <w:pStyle w:val="Heading2"/>
      </w:pPr>
      <w:r>
        <w:t xml:space="preserve">Appendix B: AI Tutor Session Index</w:t>
      </w:r>
    </w:p>
    <w:p>
      <w:pPr>
        <w:spacing w:before="80" w:after="80"/>
      </w:pPr>
      <w:r>
        <w:rPr>
          <w:rFonts w:ascii="Arial" w:cs="Arial" w:eastAsia="Arial" w:hAnsi="Arial"/>
          <w:color w:val="1A1A1A"/>
          <w:sz w:val="22"/>
          <w:szCs w:val="22"/>
        </w:rPr>
        <w:t xml:space="preserve">Copy any prompt into Claude for interactive 15–30 min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800"/>
        <w:gridCol w:w="2760"/>
      </w:tblGrid>
      <w:tr>
        <w:trPr>
          <w:tblHeader/>
        </w:trPr>
        <w:tc>
          <w:tcPr>
            <w:tcW w:type="dxa" w:w="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Sector</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Format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Zoning navigation for active projects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Residential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Case study</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9 analysis for 1378 Longfellow</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Residential</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 forma</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35 eligibility for Eagle Garden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Residential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Case study</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4</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Density bonus — 5 scenarios</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Residential</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Quiz</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CEQA: residential vs. hotel comparison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Both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Walkthrough</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6</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 CUP — commissioner role-play</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Simulation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ABC licensing for boutique hotel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Process</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8</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Franchise agreement negotiation</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Exercise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citizenM technical deep-dive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Analysis</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10</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Seismic design for modular in CA</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Modular</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Engineering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Supply chain: China vs. Poland vs. domestic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Comparison</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12</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Geotech report — 10 red flags</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Both</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Checklist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ALTA survey: residential vs. hotel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Both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Reference</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14</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C.3 stormwater for hotel</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Technical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Entitlement hearing: hotel CUP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Role-play</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16</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Impact fees across Bay Area</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Both</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Financial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 pro forma: modular vs. conventional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Hotel/Modular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Modeling</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18</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SB 330 preliminary app strategy</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Residential</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Process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19</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Revit for modular hotel prototypes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Modular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Tutorial</w:t>
            </w:r>
          </w:p>
        </w:tc>
      </w:tr>
      <w:tr>
        <w:tc>
          <w:tcPr>
            <w:tcW w:type="dxa" w:w="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20</w:t>
            </w:r>
          </w:p>
        </w:tc>
        <w:tc>
          <w:tcPr>
            <w:tcW w:type="dxa" w:w="4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Hawaii/Belize hotel feasibility</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Hotel/Modular</w:t>
            </w:r>
          </w:p>
        </w:tc>
        <w:tc>
          <w:tcPr>
            <w:tcW w:type="dxa" w:w="27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Market</w:t>
            </w:r>
          </w:p>
        </w:tc>
      </w:tr>
    </w:tbl>
    <w:p>
      <w:pPr>
        <w:pStyle w:val="Heading2"/>
      </w:pPr>
      <w:r>
        <w:t xml:space="preserve">Appendix C: Modular Hotel Project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0"/>
        <w:gridCol w:w="800"/>
        <w:gridCol w:w="4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Project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Brand</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Keys</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Stories</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Fairfield Folsom CA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Marriott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97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Guerdon (Boise)</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AC Hotel NoMad NYC</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Marriott</w:t>
            </w:r>
          </w:p>
        </w:tc>
        <w:tc>
          <w:tcPr>
            <w:tcW w:type="dxa" w:w="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168</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26</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DMD (Poland)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Courtyard Hawthorne CA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Marriott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354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Guerdon (Boise)</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citizenM Bowery NYC</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citizenM</w:t>
            </w:r>
          </w:p>
        </w:tc>
        <w:tc>
          <w:tcPr>
            <w:tcW w:type="dxa" w:w="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300</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21</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Polcom (Poland)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citizenM DTLA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citizenM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CIMC (China)</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citizenM Seattle</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citizenM</w:t>
            </w:r>
          </w:p>
        </w:tc>
        <w:tc>
          <w:tcPr>
            <w:tcW w:type="dxa" w:w="6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264</w:t>
            </w:r>
          </w:p>
        </w:tc>
        <w:tc>
          <w:tcPr>
            <w:tcW w:type="dxa" w:w="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7</w:t>
            </w:r>
          </w:p>
        </w:tc>
        <w:tc>
          <w:tcPr>
            <w:tcW w:type="dxa" w:w="4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Polcom (Poland)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citizenM Menlo Park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citizenM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240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CIMC (China)</w:t>
            </w:r>
          </w:p>
        </w:tc>
      </w:tr>
    </w:tbl>
    <w:p>
      <w:pPr>
        <w:pStyle w:val="Heading2"/>
      </w:pPr>
      <w:r>
        <w:t xml:space="preserve">Appendix D: Resource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HCD Housing Status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hcd.ca.gov</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SB 35, RHNA</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CalEnviroScreen</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oehha.ca.gov</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EJ screening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CGS Hazard Maps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maps.conservation.ca.gov</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Faults, liquefaction</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FEMA Flood Maps</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msc.fema.gov</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Flood zones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DTSC EnviroStor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envirostor.dtsc.ca.gov</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Contamination</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GeoTracker</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geotracker.waterboards.ca.gov</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Groundwater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CAL FIRE FHSZ</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osfm.fire.ca.gov</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Fire zones</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CA ABC</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abc.ca.gov</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License lookup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Marriott Development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marriottdevelopment.com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Brand standards</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Modular Building Institute</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modular.org</w:t>
            </w:r>
          </w:p>
        </w:tc>
        <w:tc>
          <w:tcPr>
            <w:tcW w:type="dxa" w:w="336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r>
              <w:rPr>
                <w:rFonts w:ascii="Arial" w:cs="Arial" w:eastAsia="Arial" w:hAnsi="Arial"/>
                <w:color w:val="1A1A1A"/>
                <w:sz w:val="20"/>
                <w:szCs w:val="20"/>
              </w:rPr>
              <w:t xml:space="preserve">Industry directory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6B7280"/>
        <w:sz w:val="16"/>
        <w:szCs w:val="16"/>
      </w:rPr>
      <w:t xml:space="preserve">SVDen Development</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DD8" w:sz="2" w:space="4"/>
      </w:pBdr>
      <w:tabs>
        <w:tab w:val="right" w:pos="9026"/>
      </w:tabs>
      <w:spacing w:after="80"/>
    </w:pPr>
    <w:r>
      <w:rPr>
        <w:rFonts w:ascii="Arial" w:cs="Arial" w:eastAsia="Arial" w:hAnsi="Arial"/>
        <w:i/>
        <w:iCs/>
        <w:color w:val="6B7280"/>
        <w:sz w:val="18"/>
        <w:szCs w:val="18"/>
      </w:rPr>
      <w:t xml:space="preserve">CA Land Use &amp; Development — Residential | Hospitality | Modular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2"/>
    <w:lvlOverride w:ilvl="0">
      <w:startOverride w:val="1"/>
    </w:lvlOverride>
  </w:num>
  <w:num w:numId="3">
    <w:abstractNumId w:val="2"/>
    <w:lvlOverride w:ilvl="0">
      <w:startOverride w:val="1"/>
    </w:lvlOverride>
  </w:num>
  <w:num w:numId="4">
    <w:abstractNumId w:val="3"/>
    <w:lvlOverride w:ilvl="0">
      <w:startOverride w:val="1"/>
    </w:lvlOverride>
  </w:num>
  <w:num w:numId="5">
    <w:abstractNumId w:val="33"/>
    <w:lvlOverride w:ilvl="0">
      <w:startOverride w:val="1"/>
    </w:lvlOverride>
  </w:num>
  <w:num w:numId="6">
    <w:abstractNumId w:val="34"/>
    <w:lvlOverride w:ilvl="0">
      <w:startOverride w:val="1"/>
    </w:lvlOverride>
  </w:num>
  <w:num w:numId="7">
    <w:abstractNumId w:val="35"/>
    <w:lvlOverride w:ilvl="0">
      <w:startOverride w:val="1"/>
    </w:lvlOverride>
  </w:num>
  <w:num w:numId="8">
    <w:abstractNumId w:val="36"/>
    <w:lvlOverride w:ilvl="0">
      <w:startOverride w:val="1"/>
    </w:lvlOverride>
  </w:num>
  <w:num w:numId="9">
    <w:abstractNumId w:val="4"/>
    <w:lvlOverride w:ilvl="0">
      <w:startOverride w:val="1"/>
    </w:lvlOverride>
  </w:num>
  <w:num w:numId="10">
    <w:abstractNumId w:val="5"/>
    <w:lvlOverride w:ilvl="0">
      <w:startOverride w:val="1"/>
    </w:lvlOverride>
  </w:num>
  <w:num w:numId="1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E405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B7DD8"/>
      <w:sz w:val="26"/>
      <w:szCs w:val="26"/>
    </w:rPr>
  </w:style>
  <w:style w:type="paragraph" w:styleId="Heading4">
    <w:name w:val="Heading 4"/>
    <w:basedOn w:val="Normal"/>
    <w:next w:val="Normal"/>
    <w:qFormat/>
    <w:pPr>
      <w:spacing w:before="160" w:after="100"/>
      <w:outlineLvl w:val="3"/>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2026-02-14T22:06:53.243Z</dcterms:created>
  <dcterms:modified xsi:type="dcterms:W3CDTF">2026-02-14T22:06:53.244Z</dcterms:modified>
</cp:coreProperties>
</file>

<file path=docProps/custom.xml><?xml version="1.0" encoding="utf-8"?>
<Properties xmlns="http://schemas.openxmlformats.org/officeDocument/2006/custom-properties" xmlns:vt="http://schemas.openxmlformats.org/officeDocument/2006/docPropsVTypes"/>
</file>