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before="80" w:after="80"/>
        <w:jc w:val="center"/>
      </w:pPr>
      <w:r>
        <w:rPr>
          <w:rFonts w:ascii="Arial" w:cs="Arial" w:eastAsia="Arial" w:hAnsi="Arial"/>
          <w:b/>
          <w:bCs/>
          <w:color w:val="1B2A4A"/>
          <w:sz w:val="56"/>
          <w:szCs w:val="56"/>
        </w:rPr>
        <w:t xml:space="preserve">MVP STRATEGIES</w:t>
      </w:r>
    </w:p>
    <w:p>
      <w:pPr>
        <w:spacing w:before="80" w:after="80"/>
        <w:jc w:val="center"/>
      </w:pPr>
      <w:r>
        <w:rPr>
          <w:rFonts w:ascii="Arial" w:cs="Arial" w:eastAsia="Arial" w:hAnsi="Arial"/>
          <w:b/>
          <w:bCs/>
          <w:color w:val="1B2A4A"/>
          <w:sz w:val="56"/>
          <w:szCs w:val="56"/>
        </w:rPr>
        <w:t xml:space="preserve">FOR LAND USE &amp; DEVELOPMENT</w:t>
      </w:r>
    </w:p>
    <w:p>
      <w:pPr>
        <w:spacing w:before="100"/>
      </w:pPr>
    </w:p>
    <w:p>
      <w:pPr>
        <w:spacing w:before="200" w:after="80"/>
        <w:jc w:val="center"/>
      </w:pPr>
      <w:r>
        <w:rPr>
          <w:rFonts w:ascii="Arial" w:cs="Arial" w:eastAsia="Arial" w:hAnsi="Arial"/>
          <w:color w:val="3B7DD8"/>
          <w:sz w:val="32"/>
          <w:szCs w:val="32"/>
        </w:rPr>
        <w:t xml:space="preserve">FAST-TRACK RAMP-UP &amp; RISK MANAGEMENT PLAYBOOK</w:t>
      </w:r>
    </w:p>
    <w:p>
      <w:pPr>
        <w:pBdr>
          <w:top w:val="single" w:color="3B7DD8" w:sz="4" w:space="1"/>
        </w:pBdr>
        <w:spacing w:after="300"/>
        <w:jc w:val="center"/>
      </w:pPr>
    </w:p>
    <w:p>
      <w:pPr>
        <w:spacing w:before="80" w:after="80"/>
        <w:jc w:val="center"/>
      </w:pPr>
      <w:r>
        <w:rPr>
          <w:rFonts w:ascii="Arial" w:cs="Arial" w:eastAsia="Arial" w:hAnsi="Arial"/>
          <w:color w:val="2E4057"/>
          <w:sz w:val="24"/>
          <w:szCs w:val="24"/>
        </w:rPr>
        <w:t xml:space="preserve">Residential • Hospitality • Modular Construction</w:t>
      </w:r>
    </w:p>
    <w:p>
      <w:pPr>
        <w:spacing w:before="80" w:after="80"/>
        <w:jc w:val="center"/>
      </w:pPr>
      <w:r>
        <w:rPr>
          <w:rFonts w:ascii="Arial" w:cs="Arial" w:eastAsia="Arial" w:hAnsi="Arial"/>
          <w:color w:val="6B7280"/>
          <w:sz w:val="22"/>
          <w:szCs w:val="22"/>
        </w:rPr>
        <w:t xml:space="preserve">From Zero to Revenue in 90-Day Sprints</w:t>
      </w:r>
    </w:p>
    <w:p>
      <w:pPr>
        <w:spacing w:before="500"/>
      </w:pPr>
    </w:p>
    <w:p>
      <w:pPr>
        <w:spacing w:before="80" w:after="80"/>
        <w:jc w:val="center"/>
      </w:pPr>
      <w:r>
        <w:rPr>
          <w:rFonts w:ascii="Arial" w:cs="Arial" w:eastAsia="Arial" w:hAnsi="Arial"/>
          <w:b/>
          <w:bCs/>
          <w:color w:val="1B2A4A"/>
          <w:sz w:val="24"/>
          <w:szCs w:val="24"/>
        </w:rPr>
        <w:t xml:space="preserve">SVDen Development | Pacific Coast Platform | xwire.ai</w:t>
      </w:r>
    </w:p>
    <w:p>
      <w:pPr>
        <w:spacing w:before="80" w:after="80"/>
        <w:jc w:val="center"/>
      </w:pPr>
      <w:r>
        <w:rPr>
          <w:rFonts w:ascii="Arial" w:cs="Arial" w:eastAsia="Arial" w:hAnsi="Arial"/>
          <w:color w:val="6B7280"/>
          <w:sz w:val="20"/>
          <w:szCs w:val="20"/>
        </w:rPr>
        <w:t xml:space="preserve">February 2026</w:t>
      </w:r>
    </w:p>
    <w:p>
      <w:pPr>
        <w:sectPr>
          <w:pgSz w:w="12240" w:h="15840" w:orient="portrait"/>
          <w:pgMar w:top="288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Executive Framework: The MVP Approach</w:t>
      </w:r>
    </w:p>
    <w:p>
      <w:pPr>
        <w:spacing w:before="80" w:after="80"/>
      </w:pPr>
      <w:r>
        <w:rPr>
          <w:rFonts w:ascii="Arial" w:cs="Arial" w:eastAsia="Arial" w:hAnsi="Arial"/>
          <w:color w:val="1A1A1A"/>
          <w:sz w:val="22"/>
          <w:szCs w:val="22"/>
        </w:rPr>
        <w:t xml:space="preserve">Traditional learning paths for land use and development take 3–5 years of progressive experience. This playbook compresses that into a structured ramp-up using MVP principles: ship the smallest viable version of each competency, validate against real projects, iterate rapidly, and stack capabilities in a sequence that generates revenue at every phase.</w:t>
      </w:r>
    </w:p>
    <w:p>
      <w:pPr>
        <w:spacing w:before="100"/>
      </w:pPr>
    </w:p>
    <w:p>
      <w:pPr>
        <w:spacing w:before="80" w:after="80"/>
      </w:pPr>
      <w:r>
        <w:rPr>
          <w:rFonts w:ascii="Arial" w:cs="Arial" w:eastAsia="Arial" w:hAnsi="Arial"/>
          <w:color w:val="1A1A1A"/>
          <w:sz w:val="22"/>
          <w:szCs w:val="22"/>
        </w:rPr>
        <w:t xml:space="preserve">The core insight is that you do not need to master everything before you start generating value. Each 90-day sprint delivers a usable competency that either (a) directly generates revenue, (b) de-risks an active project, or (c) unlocks the next capability tier. The sequence is designed so that later phases compound the value of earlier ones.</w:t>
      </w:r>
    </w:p>
    <w:p>
      <w:pPr>
        <w:pStyle w:val="Heading2"/>
      </w:pPr>
      <w:r>
        <w:t xml:space="preserve">The MVP Competency Stack</w:t>
      </w:r>
    </w:p>
    <w:p>
      <w:pPr>
        <w:spacing w:before="80" w:after="80"/>
      </w:pPr>
      <w:r>
        <w:rPr>
          <w:rFonts w:ascii="Arial" w:cs="Arial" w:eastAsia="Arial" w:hAnsi="Arial"/>
          <w:color w:val="1A1A1A"/>
          <w:sz w:val="22"/>
          <w:szCs w:val="22"/>
        </w:rPr>
        <w:t xml:space="preserve">Think of each skill domain as a product. The MVP version is the minimum knowledge needed to make a real decision, avoid a material error, or close a deal. Subsequent iterations deepen the skill based on actual project needs.</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700"/>
        <w:gridCol w:w="2000"/>
        <w:gridCol w:w="2200"/>
        <w:gridCol w:w="2060"/>
      </w:tblGrid>
      <w:tr>
        <w:trPr>
          <w:tblHeader/>
        </w:trPr>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Competency</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MVP (Week 1–2)</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V1.0 (Month 1–3)</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V2.0 (Month 4–6)</w:t>
            </w:r>
          </w:p>
        </w:tc>
        <w:tc>
          <w:tcPr>
            <w:tcW w:type="dxa" w:w="20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Full Mastery</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Zoning</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Read a zoning code; ID permitted uses for a parcel</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Full compliance analysis for your project types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Navigate overlay districts, planned developments, variances</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Draft zoning amendment applications; testify at hearings</w:t>
            </w:r>
          </w:p>
        </w:tc>
      </w:tr>
      <w:tr>
        <w:tc>
          <w:tcPr>
            <w:tcW w:type="dxa" w:w="14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CEQA</w:t>
            </w:r>
          </w:p>
        </w:tc>
        <w:tc>
          <w:tcPr>
            <w:tcW w:type="dxa" w:w="17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Know which exemptions apply to your projects</w:t>
            </w:r>
          </w:p>
        </w:tc>
        <w:tc>
          <w:tcPr>
            <w:tcW w:type="dxa" w:w="2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Determine correct review level; manage ND/MND process</w:t>
            </w:r>
          </w:p>
        </w:tc>
        <w:tc>
          <w:tcPr>
            <w:tcW w:type="dxa" w:w="2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Review and comment on EIRs; identify litigation risk</w:t>
            </w:r>
          </w:p>
        </w:tc>
        <w:tc>
          <w:tcPr>
            <w:tcW w:type="dxa" w:w="20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Defend CEQA challenges; structure project to minimize exposure</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Housing Law (SB 9/35/330)</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Know which laws apply to which project types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File SB 330 prelim apps; evaluate SB 9 feasibility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Structure projects to maximize statutory protections</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Advise other developers; create systematic deal evaluation</w:t>
            </w:r>
          </w:p>
        </w:tc>
      </w:tr>
      <w:tr>
        <w:tc>
          <w:tcPr>
            <w:tcW w:type="dxa" w:w="14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Hotel Entitlements</w:t>
            </w:r>
          </w:p>
        </w:tc>
        <w:tc>
          <w:tcPr>
            <w:tcW w:type="dxa" w:w="17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Understand CUP process; know what studies are required</w:t>
            </w:r>
          </w:p>
        </w:tc>
        <w:tc>
          <w:tcPr>
            <w:tcW w:type="dxa" w:w="2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Manage CUP application through hearing</w:t>
            </w:r>
          </w:p>
        </w:tc>
        <w:tc>
          <w:tcPr>
            <w:tcW w:type="dxa" w:w="2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Negotiate conditions of approval; manage ABC licensing</w:t>
            </w:r>
          </w:p>
        </w:tc>
        <w:tc>
          <w:tcPr>
            <w:tcW w:type="dxa" w:w="20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Structure development agreements; manage complex entitlements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Modular Construction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Understand module types, transport constraints, cost/schedule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Evaluate modular feasibility for specific projects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Manage modular procurement and factory coordination</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Structure modular supply chain; negotiate manufacturer agreements</w:t>
            </w:r>
          </w:p>
        </w:tc>
      </w:tr>
      <w:tr>
        <w:tc>
          <w:tcPr>
            <w:tcW w:type="dxa" w:w="14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Geotech / Civil</w:t>
            </w:r>
          </w:p>
        </w:tc>
        <w:tc>
          <w:tcPr>
            <w:tcW w:type="dxa" w:w="17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Read reports; identify red flags</w:t>
            </w:r>
          </w:p>
        </w:tc>
        <w:tc>
          <w:tcPr>
            <w:tcW w:type="dxa" w:w="2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Specify scope for consultants; review reports critically</w:t>
            </w:r>
          </w:p>
        </w:tc>
        <w:tc>
          <w:tcPr>
            <w:tcW w:type="dxa" w:w="2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Challenge findings; negotiate design alternatives</w:t>
            </w:r>
          </w:p>
        </w:tc>
        <w:tc>
          <w:tcPr>
            <w:tcW w:type="dxa" w:w="20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Integrate geotech into value engineering; optimize foundations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Title / Survey</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Read prelim title; identify deal-killers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Specify ALTA survey; resolve common exceptions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Negotiate title insurance endorsements; clear complex exceptions</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Structure complex transactions with title contingencies</w:t>
            </w:r>
          </w:p>
        </w:tc>
      </w:tr>
      <w:tr>
        <w:tc>
          <w:tcPr>
            <w:tcW w:type="dxa" w:w="14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Revit / BIM</w:t>
            </w:r>
          </w:p>
        </w:tc>
        <w:tc>
          <w:tcPr>
            <w:tcW w:type="dxa" w:w="17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Navigate models; extract information</w:t>
            </w:r>
          </w:p>
        </w:tc>
        <w:tc>
          <w:tcPr>
            <w:tcW w:type="dxa" w:w="2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Create basic models for your project types</w:t>
            </w:r>
          </w:p>
        </w:tc>
        <w:tc>
          <w:tcPr>
            <w:tcW w:type="dxa" w:w="2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Run coordination reviews; manage multi-discipline models</w:t>
            </w:r>
          </w:p>
        </w:tc>
        <w:tc>
          <w:tcPr>
            <w:tcW w:type="dxa" w:w="20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Specify BIM execution plans; manage LOD requirements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Pro Forma / Fees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Model basic project economics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Full pro forma with fee sensitivity analysis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Model entitlement risk scenarios; structure financing</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Build institutional-grade underwriting models</w:t>
            </w:r>
          </w:p>
        </w:tc>
      </w:tr>
    </w:tbl>
    <w:p>
      <w:r>
        <w:br w:type="page"/>
      </w:r>
    </w:p>
    <w:p>
      <w:pPr>
        <w:pStyle w:val="Heading1"/>
      </w:pPr>
      <w:r>
        <w:t xml:space="preserve">The 5-Sprint Ramp-Up Plan</w:t>
      </w:r>
    </w:p>
    <w:p>
      <w:pPr>
        <w:spacing w:before="80" w:after="80"/>
      </w:pPr>
      <w:r>
        <w:rPr>
          <w:rFonts w:ascii="Arial" w:cs="Arial" w:eastAsia="Arial" w:hAnsi="Arial"/>
          <w:color w:val="1A1A1A"/>
          <w:sz w:val="22"/>
          <w:szCs w:val="22"/>
        </w:rPr>
        <w:t xml:space="preserve">Each sprint is 90 days. The first two sprints run in parallel with your active projects (Morey Drive, Longfellow). Sprints 3–5 expand into hotel and modular territory. Each sprint has a specific revenue target or risk-reduction outcome.</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3B7DD8" w:sz="4"/>
              <w:right w:val="none" w:sz="0"/>
            </w:tcBorders>
            <w:shd w:fill="EDF2F7" w:val="clear"/>
            <w:tcMar>
              <w:top w:type="dxa" w:w="120"/>
              <w:left w:type="dxa" w:w="200"/>
              <w:bottom w:type="dxa" w:w="80"/>
              <w:right w:type="dxa" w:w="200"/>
            </w:tcMar>
          </w:tcPr>
          <w:p>
            <w:r>
              <w:rPr>
                <w:rFonts w:ascii="Georgia" w:cs="Georgia" w:eastAsia="Georgia" w:hAnsi="Georgia"/>
                <w:b/>
                <w:bCs/>
                <w:color w:val="3B7DD8"/>
                <w:sz w:val="28"/>
                <w:szCs w:val="28"/>
              </w:rPr>
              <w:t xml:space="preserve">Sprint 1: Foundation — Protect Active Projects</w:t>
            </w:r>
          </w:p>
          <w:p>
            <w:r>
              <w:rPr>
                <w:rFonts w:ascii="Arial" w:cs="Arial" w:eastAsia="Arial" w:hAnsi="Arial"/>
                <w:color w:val="6B7280"/>
                <w:sz w:val="20"/>
                <w:szCs w:val="20"/>
              </w:rPr>
              <w:t xml:space="preserve">Weeks 1–12 | 10–15 hrs/week | Revenue Protection Focus</w:t>
            </w:r>
          </w:p>
        </w:tc>
      </w:tr>
    </w:tbl>
    <w:p>
      <w:pPr>
        <w:spacing w:before="100"/>
      </w:pPr>
    </w:p>
    <w:p>
      <w:pPr>
        <w:pStyle w:val="Heading2"/>
      </w:pPr>
      <w:r>
        <w:t xml:space="preserve">Sprint 1: Foundation — Protect Active Projects</w:t>
      </w:r>
    </w:p>
    <w:p>
      <w:pPr>
        <w:pStyle w:val="Heading3"/>
      </w:pPr>
      <w:r>
        <w:t xml:space="preserve">1.1 Objective</w:t>
      </w:r>
    </w:p>
    <w:p>
      <w:pPr>
        <w:spacing w:before="80" w:after="80"/>
      </w:pPr>
      <w:r>
        <w:rPr>
          <w:rFonts w:ascii="Arial" w:cs="Arial" w:eastAsia="Arial" w:hAnsi="Arial"/>
          <w:color w:val="1A1A1A"/>
          <w:sz w:val="22"/>
          <w:szCs w:val="22"/>
        </w:rPr>
        <w:t xml:space="preserve">Develop sufficient legal and regulatory competency to independently evaluate zoning compliance, identify entitlement risks, and make informed decisions on your active projects without relying solely on consultants. This sprint is defensive — it prevents costly mistakes on projects already in motion.</w:t>
      </w:r>
    </w:p>
    <w:p>
      <w:pPr>
        <w:pStyle w:val="Heading3"/>
      </w:pPr>
      <w:r>
        <w:t xml:space="preserve">1.2 MVP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3200"/>
        <w:gridCol w:w="2960"/>
      </w:tblGrid>
      <w:tr>
        <w:trPr>
          <w:tblHeader/>
        </w:trPr>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Week</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Focus</w:t>
            </w:r>
          </w:p>
        </w:tc>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MVP Deliverable</w:t>
            </w:r>
          </w:p>
        </w:tc>
        <w:tc>
          <w:tcPr>
            <w:tcW w:type="dxa" w:w="2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Applied To</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1–2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Zoning Code Fluency</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Complete zoning analysis for both active projects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Morey Drive + Longfellow</w:t>
            </w:r>
          </w:p>
        </w:tc>
      </w:tr>
      <w:tr>
        <w:tc>
          <w:tcPr>
            <w:tcW w:type="dxa" w:w="1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3–4</w:t>
            </w:r>
          </w:p>
        </w:tc>
        <w:tc>
          <w:tcPr>
            <w:tcW w:type="dxa" w:w="2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CEQA Exemptions</w:t>
            </w:r>
          </w:p>
        </w:tc>
        <w:tc>
          <w:tcPr>
            <w:tcW w:type="dxa" w:w="3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CEQA determination memo for each project; exemption documentation</w:t>
            </w:r>
          </w:p>
        </w:tc>
        <w:tc>
          <w:tcPr>
            <w:tcW w:type="dxa" w:w="29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Active projects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5–6</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SB 9 / ADU Law</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SB 9 feasibility analysis for Longfellow; ADU compliance check</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1378 Longfellow</w:t>
            </w:r>
          </w:p>
        </w:tc>
      </w:tr>
      <w:tr>
        <w:tc>
          <w:tcPr>
            <w:tcW w:type="dxa" w:w="1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7–8</w:t>
            </w:r>
          </w:p>
        </w:tc>
        <w:tc>
          <w:tcPr>
            <w:tcW w:type="dxa" w:w="2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SB 330 / HAA</w:t>
            </w:r>
          </w:p>
        </w:tc>
        <w:tc>
          <w:tcPr>
            <w:tcW w:type="dxa" w:w="3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File SB 330 preliminary application for next project</w:t>
            </w:r>
          </w:p>
        </w:tc>
        <w:tc>
          <w:tcPr>
            <w:tcW w:type="dxa" w:w="29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Eagle Garden or next deal</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9–10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Geotech + Title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Review geotech and title for Morey Drive; create review checklists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595 Morey Drive</w:t>
            </w:r>
          </w:p>
        </w:tc>
      </w:tr>
      <w:tr>
        <w:tc>
          <w:tcPr>
            <w:tcW w:type="dxa" w:w="1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11–12</w:t>
            </w:r>
          </w:p>
        </w:tc>
        <w:tc>
          <w:tcPr>
            <w:tcW w:type="dxa" w:w="2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Integration</w:t>
            </w:r>
          </w:p>
        </w:tc>
        <w:tc>
          <w:tcPr>
            <w:tcW w:type="dxa" w:w="3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Complete entitlement risk assessment for full portfolio</w:t>
            </w:r>
          </w:p>
        </w:tc>
        <w:tc>
          <w:tcPr>
            <w:tcW w:type="dxa" w:w="29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All active projects</w:t>
            </w:r>
          </w:p>
        </w:tc>
      </w:tr>
    </w:tbl>
    <w:p>
      <w:pPr>
        <w:pStyle w:val="Heading3"/>
      </w:pPr>
      <w:r>
        <w:t xml:space="preserve">1.3 Learning Method</w:t>
      </w:r>
    </w:p>
    <w:p>
      <w:pPr>
        <w:pStyle w:val="ListParagraph"/>
        <w:numPr>
          <w:ilvl w:val="0"/>
          <w:numId w:val="2"/>
        </w:numPr>
      </w:pPr>
      <w:r>
        <w:rPr>
          <w:rFonts w:ascii="Arial" w:cs="Arial" w:eastAsia="Arial" w:hAnsi="Arial"/>
          <w:color w:val="1A1A1A"/>
          <w:sz w:val="22"/>
          <w:szCs w:val="22"/>
        </w:rPr>
        <w:t xml:space="preserve">Week 1–2: Pull actual zoning codes for Menlo Park and San Jose. Use Claude AI tutor sessions 1.1 and 1.2 from the Guidebook to do interactive walkthroughs of your real project addresses.</w:t>
      </w:r>
    </w:p>
    <w:p>
      <w:pPr>
        <w:pStyle w:val="ListParagraph"/>
        <w:numPr>
          <w:ilvl w:val="0"/>
          <w:numId w:val="3"/>
        </w:numPr>
      </w:pPr>
      <w:r>
        <w:rPr>
          <w:rFonts w:ascii="Arial" w:cs="Arial" w:eastAsia="Arial" w:hAnsi="Arial"/>
          <w:color w:val="1A1A1A"/>
          <w:sz w:val="22"/>
          <w:szCs w:val="22"/>
        </w:rPr>
        <w:t xml:space="preserve">Week 3–4: Work through CEQA decision tree with Claude (sessions 2.1–2.3). Apply to each active project. Document the analysis — this becomes your internal CEQA memo template.</w:t>
      </w:r>
    </w:p>
    <w:p>
      <w:pPr>
        <w:pStyle w:val="ListParagraph"/>
        <w:numPr>
          <w:ilvl w:val="0"/>
          <w:numId w:val="3"/>
        </w:numPr>
      </w:pPr>
      <w:r>
        <w:rPr>
          <w:rFonts w:ascii="Arial" w:cs="Arial" w:eastAsia="Arial" w:hAnsi="Arial"/>
          <w:color w:val="1A1A1A"/>
          <w:sz w:val="22"/>
          <w:szCs w:val="22"/>
        </w:rPr>
        <w:t xml:space="preserve">Week 5–6: Deep dive on SB 9 with Claude (session 1.4). Run the 4-unit vs. 2-unit pro forma comparison for Longfellow. This is a real decision point — make the call.</w:t>
      </w:r>
    </w:p>
    <w:p>
      <w:pPr>
        <w:pStyle w:val="ListParagraph"/>
        <w:numPr>
          <w:ilvl w:val="0"/>
          <w:numId w:val="3"/>
        </w:numPr>
      </w:pPr>
      <w:r>
        <w:rPr>
          <w:rFonts w:ascii="Arial" w:cs="Arial" w:eastAsia="Arial" w:hAnsi="Arial"/>
          <w:color w:val="1A1A1A"/>
          <w:sz w:val="22"/>
          <w:szCs w:val="22"/>
        </w:rPr>
        <w:t xml:space="preserve">Week 7–8: Draft and file SB 330 preliminary application. Use Claude to walk through the requirements and create your standard template.</w:t>
      </w:r>
    </w:p>
    <w:p>
      <w:pPr>
        <w:pStyle w:val="ListParagraph"/>
        <w:numPr>
          <w:ilvl w:val="0"/>
          <w:numId w:val="3"/>
        </w:numPr>
      </w:pPr>
      <w:r>
        <w:rPr>
          <w:rFonts w:ascii="Arial" w:cs="Arial" w:eastAsia="Arial" w:hAnsi="Arial"/>
          <w:color w:val="1A1A1A"/>
          <w:sz w:val="22"/>
          <w:szCs w:val="22"/>
        </w:rPr>
        <w:t xml:space="preserve">Week 9–12: Review actual geotech and title reports from Morey Drive with Claude (sessions 4.1–4.4). Build your permanent review checklists.</w:t>
      </w:r>
    </w:p>
    <w:p>
      <w:pPr>
        <w:pStyle w:val="Heading3"/>
      </w:pPr>
      <w:r>
        <w:t xml:space="preserve">1.4 Risk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3030" w:sz="6"/>
              <w:left w:val="none" w:sz="0"/>
              <w:bottom w:val="none" w:sz="0"/>
              <w:right w:val="none" w:sz="0"/>
            </w:tcBorders>
            <w:shd w:fill="FEF2F2" w:val="clear"/>
            <w:tcMar>
              <w:top w:type="dxa" w:w="120"/>
              <w:left w:type="dxa" w:w="200"/>
              <w:bottom w:type="dxa" w:w="120"/>
              <w:right w:type="dxa" w:w="200"/>
            </w:tcMar>
          </w:tcPr>
          <w:p>
            <w:pPr>
              <w:spacing w:after="40"/>
            </w:pPr>
            <w:r>
              <w:rPr>
                <w:rFonts w:ascii="Arial" w:cs="Arial" w:eastAsia="Arial" w:hAnsi="Arial"/>
                <w:b/>
                <w:bCs/>
                <w:color w:val="C53030"/>
                <w:sz w:val="22"/>
                <w:szCs w:val="22"/>
              </w:rPr>
              <w:t xml:space="preserve">Sprint 1 Key Risks</w:t>
            </w:r>
          </w:p>
          <w:p>
            <w:r>
              <w:rPr>
                <w:rFonts w:ascii="Arial" w:cs="Arial" w:eastAsia="Arial" w:hAnsi="Arial"/>
                <w:color w:val="7F1D1D"/>
                <w:sz w:val="20"/>
                <w:szCs w:val="20"/>
              </w:rPr>
              <w:t xml:space="preserve">(1) Misidentifying CEQA exemption → project challenge. MITIGATION: Have land use attorney confirm your CEQA determination before relying on it. Your analysis is for internal decision-making; attorney signs off on the legal conclusion. (2) Missing a title exception that affects buildability → construction delay. MITIGATION: Always cross-reference title exceptions with ALTA survey; never rely on title report alone. (3) SB 330 filing error → lost vesting date. MITIGATION: Have attorney review preliminary application before filing; ensure it meets all statutory requirements.</w:t>
            </w:r>
          </w:p>
        </w:tc>
      </w:tr>
    </w:tbl>
    <w:p>
      <w:pPr>
        <w:pStyle w:val="Heading3"/>
      </w:pPr>
      <w:r>
        <w:t xml:space="preserve">1.5 Sprint 1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Metric</w:t>
            </w:r>
          </w:p>
        </w:tc>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Target</w:t>
            </w:r>
          </w:p>
        </w:tc>
        <w:tc>
          <w:tcPr>
            <w:tcW w:type="dxa" w:w="3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Measurement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Zoning analyses completed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2 (both active projects)</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Written compliance memo per project</w:t>
            </w:r>
          </w:p>
        </w:tc>
      </w:tr>
      <w:tr>
        <w:tc>
          <w:tcPr>
            <w:tcW w:type="dxa" w:w="2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CEQA determinations</w:t>
            </w:r>
          </w:p>
        </w:tc>
        <w:tc>
          <w:tcPr>
            <w:tcW w:type="dxa" w:w="2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2 (both active projects)</w:t>
            </w:r>
          </w:p>
        </w:tc>
        <w:tc>
          <w:tcPr>
            <w:tcW w:type="dxa" w:w="37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Exemption memo confirmed by attorney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SB 330 preliminary app filed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1</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Filing receipt from jurisdiction</w:t>
            </w:r>
          </w:p>
        </w:tc>
      </w:tr>
      <w:tr>
        <w:tc>
          <w:tcPr>
            <w:tcW w:type="dxa" w:w="2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SB 9 feasibility decision</w:t>
            </w:r>
          </w:p>
        </w:tc>
        <w:tc>
          <w:tcPr>
            <w:tcW w:type="dxa" w:w="2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1 (Longfellow)</w:t>
            </w:r>
          </w:p>
        </w:tc>
        <w:tc>
          <w:tcPr>
            <w:tcW w:type="dxa" w:w="37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Pro forma comparison completed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Review checklists created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3 (zoning, geotech, title)</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Reusable templates in Cowork library</w:t>
            </w:r>
          </w:p>
        </w:tc>
      </w:tr>
      <w:tr>
        <w:tc>
          <w:tcPr>
            <w:tcW w:type="dxa" w:w="2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Consultant cost avoided</w:t>
            </w:r>
          </w:p>
        </w:tc>
        <w:tc>
          <w:tcPr>
            <w:tcW w:type="dxa" w:w="2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$15K–$30K</w:t>
            </w:r>
          </w:p>
        </w:tc>
        <w:tc>
          <w:tcPr>
            <w:tcW w:type="dxa" w:w="37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Internal analysis vs. consultant quote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7DD8" w:sz="6"/>
              <w:left w:val="none" w:sz="0"/>
              <w:bottom w:val="none" w:sz="0"/>
              <w:right w:val="none" w:sz="0"/>
            </w:tcBorders>
            <w:shd w:fill="EDF2F7" w:val="clear"/>
            <w:tcMar>
              <w:top w:type="dxa" w:w="120"/>
              <w:left w:type="dxa" w:w="200"/>
              <w:bottom w:type="dxa" w:w="120"/>
              <w:right w:type="dxa" w:w="200"/>
            </w:tcMar>
          </w:tcPr>
          <w:p>
            <w:pPr>
              <w:spacing w:after="40"/>
            </w:pPr>
            <w:r>
              <w:rPr>
                <w:rFonts w:ascii="Arial" w:cs="Arial" w:eastAsia="Arial" w:hAnsi="Arial"/>
                <w:b/>
                <w:bCs/>
                <w:color w:val="3B7DD8"/>
                <w:sz w:val="22"/>
                <w:szCs w:val="22"/>
              </w:rPr>
              <w:t xml:space="preserve">Revenue Impact</w:t>
            </w:r>
          </w:p>
          <w:p>
            <w:r>
              <w:rPr>
                <w:rFonts w:ascii="Arial" w:cs="Arial" w:eastAsia="Arial" w:hAnsi="Arial"/>
                <w:color w:val="2E4057"/>
                <w:sz w:val="20"/>
                <w:szCs w:val="20"/>
              </w:rPr>
              <w:t xml:space="preserve">Sprint 1 doesn’t generate new revenue directly, but it protects $500K–$1M+ in active project value by identifying risks before they become change orders or delays. The SB 330 filing alone can save $50K–$100K+ in fee escalation on a multifamily project.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28A745" w:sz="4"/>
              <w:right w:val="none" w:sz="0"/>
            </w:tcBorders>
            <w:shd w:fill="EDF2F7" w:val="clear"/>
            <w:tcMar>
              <w:top w:type="dxa" w:w="120"/>
              <w:left w:type="dxa" w:w="200"/>
              <w:bottom w:type="dxa" w:w="80"/>
              <w:right w:type="dxa" w:w="200"/>
            </w:tcMar>
          </w:tcPr>
          <w:p>
            <w:r>
              <w:rPr>
                <w:rFonts w:ascii="Georgia" w:cs="Georgia" w:eastAsia="Georgia" w:hAnsi="Georgia"/>
                <w:b/>
                <w:bCs/>
                <w:color w:val="28A745"/>
                <w:sz w:val="28"/>
                <w:szCs w:val="28"/>
              </w:rPr>
              <w:t xml:space="preserve">Sprint 2: Expansion — New Deal Evaluation</w:t>
            </w:r>
          </w:p>
          <w:p>
            <w:r>
              <w:rPr>
                <w:rFonts w:ascii="Arial" w:cs="Arial" w:eastAsia="Arial" w:hAnsi="Arial"/>
                <w:color w:val="6B7280"/>
                <w:sz w:val="20"/>
                <w:szCs w:val="20"/>
              </w:rPr>
              <w:t xml:space="preserve">Weeks 13–24 | 10–15 hrs/week | Deal Flow Focus</w:t>
            </w:r>
          </w:p>
        </w:tc>
      </w:tr>
    </w:tbl>
    <w:p>
      <w:pPr>
        <w:spacing w:before="100"/>
      </w:pPr>
    </w:p>
    <w:p>
      <w:pPr>
        <w:pStyle w:val="Heading2"/>
      </w:pPr>
      <w:r>
        <w:t xml:space="preserve">Sprint 2: Expansion — New Deal Evaluation</w:t>
      </w:r>
    </w:p>
    <w:p>
      <w:pPr>
        <w:pStyle w:val="Heading3"/>
      </w:pPr>
      <w:r>
        <w:t xml:space="preserve">2.1 Objective</w:t>
      </w:r>
    </w:p>
    <w:p>
      <w:pPr>
        <w:spacing w:before="80" w:after="80"/>
      </w:pPr>
      <w:r>
        <w:rPr>
          <w:rFonts w:ascii="Arial" w:cs="Arial" w:eastAsia="Arial" w:hAnsi="Arial"/>
          <w:color w:val="1A1A1A"/>
          <w:sz w:val="22"/>
          <w:szCs w:val="22"/>
        </w:rPr>
        <w:t xml:space="preserve">Build a systematic site evaluation capability that lets you independently assess new development opportunities — residential and hotel — in under 48 hours. This is the skill that generates deal flow and positions you to evaluate opportunities before competitors.</w:t>
      </w:r>
    </w:p>
    <w:p>
      <w:pPr>
        <w:pStyle w:val="Heading3"/>
      </w:pPr>
      <w:r>
        <w:t xml:space="preserve">2.2 MVP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3200"/>
        <w:gridCol w:w="2960"/>
      </w:tblGrid>
      <w:tr>
        <w:trPr>
          <w:tblHeader/>
        </w:trPr>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Week</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Focus</w:t>
            </w:r>
          </w:p>
        </w:tc>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MVP Deliverable</w:t>
            </w:r>
          </w:p>
        </w:tc>
        <w:tc>
          <w:tcPr>
            <w:tcW w:type="dxa" w:w="2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Revenue Outcome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13–14</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GIS Site Analysis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10-step site screening protocol built and tested</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Screen 5 sites/week</w:t>
            </w:r>
          </w:p>
        </w:tc>
      </w:tr>
      <w:tr>
        <w:tc>
          <w:tcPr>
            <w:tcW w:type="dxa" w:w="1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15–16</w:t>
            </w:r>
          </w:p>
        </w:tc>
        <w:tc>
          <w:tcPr>
            <w:tcW w:type="dxa" w:w="2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Subdivision / Mapping</w:t>
            </w:r>
          </w:p>
        </w:tc>
        <w:tc>
          <w:tcPr>
            <w:tcW w:type="dxa" w:w="3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Map Act analysis for subdivision feasibility</w:t>
            </w:r>
          </w:p>
        </w:tc>
        <w:tc>
          <w:tcPr>
            <w:tcW w:type="dxa" w:w="29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Evaluate lot split deals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17–18</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Impact Fee Modeling</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Fee calculator for Bay Area jurisdictions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Accurate pro formas in hours</w:t>
            </w:r>
          </w:p>
        </w:tc>
      </w:tr>
      <w:tr>
        <w:tc>
          <w:tcPr>
            <w:tcW w:type="dxa" w:w="1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19–20</w:t>
            </w:r>
          </w:p>
        </w:tc>
        <w:tc>
          <w:tcPr>
            <w:tcW w:type="dxa" w:w="2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Civil / Stormwater</w:t>
            </w:r>
          </w:p>
        </w:tc>
        <w:tc>
          <w:tcPr>
            <w:tcW w:type="dxa" w:w="3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C.3 compliance screening; SWPPP triggers</w:t>
            </w:r>
          </w:p>
        </w:tc>
        <w:tc>
          <w:tcPr>
            <w:tcW w:type="dxa" w:w="29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Eliminate infeasible sites fast</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21–22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Hotel Zoning Screening</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Hotel-permissible zone identification across target cities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Hotel site pipeline</w:t>
            </w:r>
          </w:p>
        </w:tc>
      </w:tr>
      <w:tr>
        <w:tc>
          <w:tcPr>
            <w:tcW w:type="dxa" w:w="1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23–24</w:t>
            </w:r>
          </w:p>
        </w:tc>
        <w:tc>
          <w:tcPr>
            <w:tcW w:type="dxa" w:w="2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Integration</w:t>
            </w:r>
          </w:p>
        </w:tc>
        <w:tc>
          <w:tcPr>
            <w:tcW w:type="dxa" w:w="3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Complete 48-hour site evaluation package</w:t>
            </w:r>
          </w:p>
        </w:tc>
        <w:tc>
          <w:tcPr>
            <w:tcW w:type="dxa" w:w="29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Systematic deal evaluation</w:t>
            </w:r>
          </w:p>
        </w:tc>
      </w:tr>
    </w:tbl>
    <w:p>
      <w:pPr>
        <w:pStyle w:val="Heading3"/>
      </w:pPr>
      <w:r>
        <w:t xml:space="preserve">2.3 The 48-Hour Site Evaluation System</w:t>
      </w:r>
    </w:p>
    <w:p>
      <w:pPr>
        <w:spacing w:before="80" w:after="80"/>
      </w:pPr>
      <w:r>
        <w:rPr>
          <w:rFonts w:ascii="Arial" w:cs="Arial" w:eastAsia="Arial" w:hAnsi="Arial"/>
          <w:color w:val="1A1A1A"/>
          <w:sz w:val="22"/>
          <w:szCs w:val="22"/>
        </w:rPr>
        <w:t xml:space="preserve">This is the core product of Sprint 2. When a deal comes across your desk, you should be able to produce a comprehensive feasibility assessment in 48 hours.</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000"/>
        <w:gridCol w:w="3360"/>
      </w:tblGrid>
      <w:tr>
        <w:trPr>
          <w:tblHeader/>
        </w:trPr>
        <w:tc>
          <w:tcPr>
            <w:tcW w:type="dxa" w:w="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Hour</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Activity</w:t>
            </w:r>
          </w:p>
        </w:tc>
        <w:tc>
          <w:tcPr>
            <w:tcW w:type="dxa" w:w="3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Tool / Source</w:t>
            </w:r>
          </w:p>
        </w:tc>
        <w:tc>
          <w:tcPr>
            <w:tcW w:type="dxa" w:w="3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Output</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0–1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GIS site screening</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County GIS, FEMA, CGS, CalEnviroScreen</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Pass/fail on fatal flaws</w:t>
            </w:r>
          </w:p>
        </w:tc>
      </w:tr>
      <w:tr>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1–3</w:t>
            </w:r>
          </w:p>
        </w:tc>
        <w:tc>
          <w:tcPr>
            <w:tcW w:type="dxa" w:w="2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Zoning analysis</w:t>
            </w:r>
          </w:p>
        </w:tc>
        <w:tc>
          <w:tcPr>
            <w:tcW w:type="dxa" w:w="3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Municipal code + Claude AI tutor</w:t>
            </w:r>
          </w:p>
        </w:tc>
        <w:tc>
          <w:tcPr>
            <w:tcW w:type="dxa" w:w="33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Permitted uses, dev standards, approval path</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3–4</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Title review</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Preliminary title report</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Exception risk assessment</w:t>
            </w:r>
          </w:p>
        </w:tc>
      </w:tr>
      <w:tr>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4–6</w:t>
            </w:r>
          </w:p>
        </w:tc>
        <w:tc>
          <w:tcPr>
            <w:tcW w:type="dxa" w:w="2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Fee estimation</w:t>
            </w:r>
          </w:p>
        </w:tc>
        <w:tc>
          <w:tcPr>
            <w:tcW w:type="dxa" w:w="3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Impact fee calculator (Cowork)</w:t>
            </w:r>
          </w:p>
        </w:tc>
        <w:tc>
          <w:tcPr>
            <w:tcW w:type="dxa" w:w="33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Per-unit/per-key fee burden</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6–8</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Preliminary pro forma</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Excel model</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IRR, equity multiple, sensitivity</w:t>
            </w:r>
          </w:p>
        </w:tc>
      </w:tr>
      <w:tr>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8–12</w:t>
            </w:r>
          </w:p>
        </w:tc>
        <w:tc>
          <w:tcPr>
            <w:tcW w:type="dxa" w:w="2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CEQA pathway</w:t>
            </w:r>
          </w:p>
        </w:tc>
        <w:tc>
          <w:tcPr>
            <w:tcW w:type="dxa" w:w="3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Decision tree + exemption analysis</w:t>
            </w:r>
          </w:p>
        </w:tc>
        <w:tc>
          <w:tcPr>
            <w:tcW w:type="dxa" w:w="33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Review level, timeline, cost estimate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12–16</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Entitlement timeline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Process flowchart (Cowork)</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Critical path schedule</w:t>
            </w:r>
          </w:p>
        </w:tc>
      </w:tr>
      <w:tr>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16–24</w:t>
            </w:r>
          </w:p>
        </w:tc>
        <w:tc>
          <w:tcPr>
            <w:tcW w:type="dxa" w:w="2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Physical constraints</w:t>
            </w:r>
          </w:p>
        </w:tc>
        <w:tc>
          <w:tcPr>
            <w:tcW w:type="dxa" w:w="3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Geotech screening, civil, stormwater</w:t>
            </w:r>
          </w:p>
        </w:tc>
        <w:tc>
          <w:tcPr>
            <w:tcW w:type="dxa" w:w="33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Construction risk factors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24–36</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Modular feasibility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Transport, crane, structural screening</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Modular vs. conventional recommendation</w:t>
            </w:r>
          </w:p>
        </w:tc>
      </w:tr>
      <w:tr>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36–48</w:t>
            </w:r>
          </w:p>
        </w:tc>
        <w:tc>
          <w:tcPr>
            <w:tcW w:type="dxa" w:w="2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Investment memo</w:t>
            </w:r>
          </w:p>
        </w:tc>
        <w:tc>
          <w:tcPr>
            <w:tcW w:type="dxa" w:w="3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Compiled analysis</w:t>
            </w:r>
          </w:p>
        </w:tc>
        <w:tc>
          <w:tcPr>
            <w:tcW w:type="dxa" w:w="33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Go/no-go recommendation with risk matrix</w:t>
            </w:r>
          </w:p>
        </w:tc>
      </w:tr>
    </w:tbl>
    <w:p>
      <w:pPr>
        <w:pStyle w:val="Heading3"/>
      </w:pPr>
      <w:r>
        <w:t xml:space="preserve">2.4 Risk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3030" w:sz="6"/>
              <w:left w:val="none" w:sz="0"/>
              <w:bottom w:val="none" w:sz="0"/>
              <w:right w:val="none" w:sz="0"/>
            </w:tcBorders>
            <w:shd w:fill="FEF2F2" w:val="clear"/>
            <w:tcMar>
              <w:top w:type="dxa" w:w="120"/>
              <w:left w:type="dxa" w:w="200"/>
              <w:bottom w:type="dxa" w:w="120"/>
              <w:right w:type="dxa" w:w="200"/>
            </w:tcMar>
          </w:tcPr>
          <w:p>
            <w:pPr>
              <w:spacing w:after="40"/>
            </w:pPr>
            <w:r>
              <w:rPr>
                <w:rFonts w:ascii="Arial" w:cs="Arial" w:eastAsia="Arial" w:hAnsi="Arial"/>
                <w:b/>
                <w:bCs/>
                <w:color w:val="C53030"/>
                <w:sz w:val="22"/>
                <w:szCs w:val="22"/>
              </w:rPr>
              <w:t xml:space="preserve">Sprint 2 Key Risks</w:t>
            </w:r>
          </w:p>
          <w:p>
            <w:r>
              <w:rPr>
                <w:rFonts w:ascii="Arial" w:cs="Arial" w:eastAsia="Arial" w:hAnsi="Arial"/>
                <w:color w:val="7F1D1D"/>
                <w:sz w:val="20"/>
                <w:szCs w:val="20"/>
              </w:rPr>
              <w:t xml:space="preserve">(1) Over-reliance on GIS screening → missing site-specific conditions. MITIGATION: GIS is screening only; always follow up with physical site visit and targeted consultant engagement for top candidates. (2) Fee estimates based on published schedules → actual fees differ. MITIGATION: Call jurisdiction fee desk to confirm current rates before finalizing pro forma; fees change mid-year. (3) Hotel zoning misread → pursuing infeasible hotel site. MITIGATION: Always confirm hotel use status (permitted vs. CUP vs. prohibited) with planning staff via email to create a paper trail.</w:t>
            </w:r>
          </w:p>
        </w:tc>
      </w:tr>
    </w:tbl>
    <w:p>
      <w:pPr>
        <w:pStyle w:val="Heading3"/>
      </w:pPr>
      <w:r>
        <w:t xml:space="preserve">2.5 Sprint 2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Metric</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Target</w:t>
            </w:r>
          </w:p>
        </w:tc>
        <w:tc>
          <w:tcPr>
            <w:tcW w:type="dxa" w:w="4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Measurement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Sites screened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20+</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GIS screening log</w:t>
            </w:r>
          </w:p>
        </w:tc>
      </w:tr>
      <w:tr>
        <w:tc>
          <w:tcPr>
            <w:tcW w:type="dxa" w:w="2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Full evaluations completed</w:t>
            </w:r>
          </w:p>
        </w:tc>
        <w:tc>
          <w:tcPr>
            <w:tcW w:type="dxa" w:w="2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5–8</w:t>
            </w:r>
          </w:p>
        </w:tc>
        <w:tc>
          <w:tcPr>
            <w:tcW w:type="dxa" w:w="45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48-hour evaluation packages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Deals sourced from evaluation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1–2</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LOI or PSA submitted</w:t>
            </w:r>
          </w:p>
        </w:tc>
      </w:tr>
      <w:tr>
        <w:tc>
          <w:tcPr>
            <w:tcW w:type="dxa" w:w="2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Hotel sites identified</w:t>
            </w:r>
          </w:p>
        </w:tc>
        <w:tc>
          <w:tcPr>
            <w:tcW w:type="dxa" w:w="2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3–5</w:t>
            </w:r>
          </w:p>
        </w:tc>
        <w:tc>
          <w:tcPr>
            <w:tcW w:type="dxa" w:w="45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Zoning-confirmed hotel-feasible parcels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Time to evaluate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&lt;48 hours per site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Tracked from first look to recommendation</w:t>
            </w:r>
          </w:p>
        </w:tc>
      </w:tr>
      <w:tr>
        <w:tc>
          <w:tcPr>
            <w:tcW w:type="dxa" w:w="2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Evaluation cost</w:t>
            </w:r>
          </w:p>
        </w:tc>
        <w:tc>
          <w:tcPr>
            <w:tcW w:type="dxa" w:w="2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&lt;$2K per site (internal labor only)</w:t>
            </w:r>
          </w:p>
        </w:tc>
        <w:tc>
          <w:tcPr>
            <w:tcW w:type="dxa" w:w="45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vs. $10K–$20K consultant fee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7DD8" w:sz="6"/>
              <w:left w:val="none" w:sz="0"/>
              <w:bottom w:val="none" w:sz="0"/>
              <w:right w:val="none" w:sz="0"/>
            </w:tcBorders>
            <w:shd w:fill="EDF2F7" w:val="clear"/>
            <w:tcMar>
              <w:top w:type="dxa" w:w="120"/>
              <w:left w:type="dxa" w:w="200"/>
              <w:bottom w:type="dxa" w:w="120"/>
              <w:right w:type="dxa" w:w="200"/>
            </w:tcMar>
          </w:tcPr>
          <w:p>
            <w:pPr>
              <w:spacing w:after="40"/>
            </w:pPr>
            <w:r>
              <w:rPr>
                <w:rFonts w:ascii="Arial" w:cs="Arial" w:eastAsia="Arial" w:hAnsi="Arial"/>
                <w:b/>
                <w:bCs/>
                <w:color w:val="3B7DD8"/>
                <w:sz w:val="22"/>
                <w:szCs w:val="22"/>
              </w:rPr>
              <w:t xml:space="preserve">Revenue Impact</w:t>
            </w:r>
          </w:p>
          <w:p>
            <w:r>
              <w:rPr>
                <w:rFonts w:ascii="Arial" w:cs="Arial" w:eastAsia="Arial" w:hAnsi="Arial"/>
                <w:color w:val="2E4057"/>
                <w:sz w:val="20"/>
                <w:szCs w:val="20"/>
              </w:rPr>
              <w:t xml:space="preserve">Each deal you independently evaluate and source saves $10K–$20K in consultant feasibility fees. More importantly, speed of evaluation = competitive advantage in deal flow. Being first to identify a feasible hotel or multifamily site and structure an offer is worth 10–50x the evaluation cost.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7C3AED" w:sz="4"/>
              <w:right w:val="none" w:sz="0"/>
            </w:tcBorders>
            <w:shd w:fill="EDF2F7" w:val="clear"/>
            <w:tcMar>
              <w:top w:type="dxa" w:w="120"/>
              <w:left w:type="dxa" w:w="200"/>
              <w:bottom w:type="dxa" w:w="80"/>
              <w:right w:type="dxa" w:w="200"/>
            </w:tcMar>
          </w:tcPr>
          <w:p>
            <w:r>
              <w:rPr>
                <w:rFonts w:ascii="Georgia" w:cs="Georgia" w:eastAsia="Georgia" w:hAnsi="Georgia"/>
                <w:b/>
                <w:bCs/>
                <w:color w:val="7C3AED"/>
                <w:sz w:val="28"/>
                <w:szCs w:val="28"/>
              </w:rPr>
              <w:t xml:space="preserve">Sprint 3: Hotel &amp; Franchise — Hospitality Entry</w:t>
            </w:r>
          </w:p>
          <w:p>
            <w:r>
              <w:rPr>
                <w:rFonts w:ascii="Arial" w:cs="Arial" w:eastAsia="Arial" w:hAnsi="Arial"/>
                <w:color w:val="6B7280"/>
                <w:sz w:val="20"/>
                <w:szCs w:val="20"/>
              </w:rPr>
              <w:t xml:space="preserve">Weeks 25–36 | 15–20 hrs/week | New Market Entry</w:t>
            </w:r>
          </w:p>
        </w:tc>
      </w:tr>
    </w:tbl>
    <w:p>
      <w:pPr>
        <w:spacing w:before="100"/>
      </w:pPr>
    </w:p>
    <w:p>
      <w:pPr>
        <w:pStyle w:val="Heading2"/>
      </w:pPr>
      <w:r>
        <w:t xml:space="preserve">Sprint 3: Hotel &amp; Franchise — Hospitality Entry</w:t>
      </w:r>
    </w:p>
    <w:p>
      <w:pPr>
        <w:pStyle w:val="Heading3"/>
      </w:pPr>
      <w:r>
        <w:t xml:space="preserve">3.1 Objective</w:t>
      </w:r>
    </w:p>
    <w:p>
      <w:pPr>
        <w:spacing w:before="80" w:after="80"/>
      </w:pPr>
      <w:r>
        <w:rPr>
          <w:rFonts w:ascii="Arial" w:cs="Arial" w:eastAsia="Arial" w:hAnsi="Arial"/>
          <w:color w:val="1A1A1A"/>
          <w:sz w:val="22"/>
          <w:szCs w:val="22"/>
        </w:rPr>
        <w:t xml:space="preserve">Develop hotel development competency sufficient to evaluate franchise opportunities, manage hotel CUP applications, and structure hotel development deals. This unlocks the hospitality vertical for SVDen and creates the foundation for your Hawaii and Belize projects.</w:t>
      </w:r>
    </w:p>
    <w:p>
      <w:pPr>
        <w:pStyle w:val="Heading3"/>
      </w:pPr>
      <w:r>
        <w:t xml:space="preserve">3.2 MVP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3200"/>
        <w:gridCol w:w="2960"/>
      </w:tblGrid>
      <w:tr>
        <w:trPr>
          <w:tblHeader/>
        </w:trPr>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Week</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Focus</w:t>
            </w:r>
          </w:p>
        </w:tc>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MVP Deliverable</w:t>
            </w:r>
          </w:p>
        </w:tc>
        <w:tc>
          <w:tcPr>
            <w:tcW w:type="dxa" w:w="2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Applied To</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25–26</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Hotel Market Analysis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Market feasibility framework; RevPAR/ADR analysis methodology</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Hawaii + Belize target markets</w:t>
            </w:r>
          </w:p>
        </w:tc>
      </w:tr>
      <w:tr>
        <w:tc>
          <w:tcPr>
            <w:tcW w:type="dxa" w:w="1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27–28</w:t>
            </w:r>
          </w:p>
        </w:tc>
        <w:tc>
          <w:tcPr>
            <w:tcW w:type="dxa" w:w="2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Franchise Deep Dive</w:t>
            </w:r>
          </w:p>
        </w:tc>
        <w:tc>
          <w:tcPr>
            <w:tcW w:type="dxa" w:w="3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Franchise agreement term sheet template; brand comparison matrix</w:t>
            </w:r>
          </w:p>
        </w:tc>
        <w:tc>
          <w:tcPr>
            <w:tcW w:type="dxa" w:w="29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Marriott select-service brands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29–30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Hotel CUP Process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CUP application checklist; required studies matrix; hearing prep guide</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First hotel project site</w:t>
            </w:r>
          </w:p>
        </w:tc>
      </w:tr>
      <w:tr>
        <w:tc>
          <w:tcPr>
            <w:tcW w:type="dxa" w:w="1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31–32</w:t>
            </w:r>
          </w:p>
        </w:tc>
        <w:tc>
          <w:tcPr>
            <w:tcW w:type="dxa" w:w="2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ABC Licensing</w:t>
            </w:r>
          </w:p>
        </w:tc>
        <w:tc>
          <w:tcPr>
            <w:tcW w:type="dxa" w:w="3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License type selection; application timeline; census tract analysis</w:t>
            </w:r>
          </w:p>
        </w:tc>
        <w:tc>
          <w:tcPr>
            <w:tcW w:type="dxa" w:w="29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Target hotel jurisdiction</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33–34</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Hotel Pro Forma</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Hotel-specific pro forma with franchise fees, FF&amp;E reserve, PIP cycles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Candidate project</w:t>
            </w:r>
          </w:p>
        </w:tc>
      </w:tr>
      <w:tr>
        <w:tc>
          <w:tcPr>
            <w:tcW w:type="dxa" w:w="1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35–36</w:t>
            </w:r>
          </w:p>
        </w:tc>
        <w:tc>
          <w:tcPr>
            <w:tcW w:type="dxa" w:w="2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Deal Structuring</w:t>
            </w:r>
          </w:p>
        </w:tc>
        <w:tc>
          <w:tcPr>
            <w:tcW w:type="dxa" w:w="3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Term sheet for hotel development partnership; LP/GP structure</w:t>
            </w:r>
          </w:p>
        </w:tc>
        <w:tc>
          <w:tcPr>
            <w:tcW w:type="dxa" w:w="29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PE fund presentation</w:t>
            </w:r>
          </w:p>
        </w:tc>
      </w:tr>
    </w:tbl>
    <w:p>
      <w:pPr>
        <w:pStyle w:val="Heading3"/>
      </w:pPr>
      <w:r>
        <w:t xml:space="preserve">3.3 Franchise Evaluation Framework</w:t>
      </w:r>
    </w:p>
    <w:p>
      <w:pPr>
        <w:spacing w:before="80" w:after="80"/>
      </w:pPr>
      <w:r>
        <w:rPr>
          <w:rFonts w:ascii="Arial" w:cs="Arial" w:eastAsia="Arial" w:hAnsi="Arial"/>
          <w:color w:val="1A1A1A"/>
          <w:sz w:val="22"/>
          <w:szCs w:val="22"/>
        </w:rPr>
        <w:t xml:space="preserve">Evaluate each franchise opportunity against this decision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3000"/>
        <w:gridCol w:w="33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Decision Factor</w:t>
            </w:r>
          </w:p>
        </w:tc>
        <w:tc>
          <w:tcPr>
            <w:tcW w:type="dxa" w:w="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Weight</w:t>
            </w:r>
          </w:p>
        </w:tc>
        <w:tc>
          <w:tcPr>
            <w:tcW w:type="dxa" w:w="3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How to Evaluate</w:t>
            </w:r>
          </w:p>
        </w:tc>
        <w:tc>
          <w:tcPr>
            <w:tcW w:type="dxa" w:w="3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Data Source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Market demand (RevPAR, occupancy)</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25%</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STR report; local market data</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STR, CoStar, brand market study</w:t>
            </w:r>
          </w:p>
        </w:tc>
      </w:tr>
      <w:tr>
        <w:tc>
          <w:tcPr>
            <w:tcW w:type="dxa" w:w="2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Site zoning + entitlement path</w:t>
            </w:r>
          </w:p>
        </w:tc>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20%</w:t>
            </w:r>
          </w:p>
        </w:tc>
        <w:tc>
          <w:tcPr>
            <w:tcW w:type="dxa" w:w="3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Your 48-hour evaluation system</w:t>
            </w:r>
          </w:p>
        </w:tc>
        <w:tc>
          <w:tcPr>
            <w:tcW w:type="dxa" w:w="33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Sprint 2 output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Brand fit to market</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15%</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Comparable properties; brand positioning</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Franchise disclosure doc + site visit</w:t>
            </w:r>
          </w:p>
        </w:tc>
      </w:tr>
      <w:tr>
        <w:tc>
          <w:tcPr>
            <w:tcW w:type="dxa" w:w="2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Construction cost (modular potential)</w:t>
            </w:r>
          </w:p>
        </w:tc>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15%</w:t>
            </w:r>
          </w:p>
        </w:tc>
        <w:tc>
          <w:tcPr>
            <w:tcW w:type="dxa" w:w="3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Modular feasibility screen; cost benchmarks</w:t>
            </w:r>
          </w:p>
        </w:tc>
        <w:tc>
          <w:tcPr>
            <w:tcW w:type="dxa" w:w="33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Sprint 4 output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Franchise economics (fees, key money)</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15%</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NPV of franchise agreement over term</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Your hotel pro forma model</w:t>
            </w:r>
          </w:p>
        </w:tc>
      </w:tr>
      <w:tr>
        <w:tc>
          <w:tcPr>
            <w:tcW w:type="dxa" w:w="2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Entitlement risk + timeline</w:t>
            </w:r>
          </w:p>
        </w:tc>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10%</w:t>
            </w:r>
          </w:p>
        </w:tc>
        <w:tc>
          <w:tcPr>
            <w:tcW w:type="dxa" w:w="3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CEQA pathway; opposition assessment</w:t>
            </w:r>
          </w:p>
        </w:tc>
        <w:tc>
          <w:tcPr>
            <w:tcW w:type="dxa" w:w="33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Sprint 1–2 capabilities</w:t>
            </w:r>
          </w:p>
        </w:tc>
      </w:tr>
    </w:tbl>
    <w:p>
      <w:pPr>
        <w:pStyle w:val="Heading3"/>
      </w:pPr>
      <w:r>
        <w:t xml:space="preserve">3.4 Risk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3030" w:sz="6"/>
              <w:left w:val="none" w:sz="0"/>
              <w:bottom w:val="none" w:sz="0"/>
              <w:right w:val="none" w:sz="0"/>
            </w:tcBorders>
            <w:shd w:fill="FEF2F2" w:val="clear"/>
            <w:tcMar>
              <w:top w:type="dxa" w:w="120"/>
              <w:left w:type="dxa" w:w="200"/>
              <w:bottom w:type="dxa" w:w="120"/>
              <w:right w:type="dxa" w:w="200"/>
            </w:tcMar>
          </w:tcPr>
          <w:p>
            <w:pPr>
              <w:spacing w:after="40"/>
            </w:pPr>
            <w:r>
              <w:rPr>
                <w:rFonts w:ascii="Arial" w:cs="Arial" w:eastAsia="Arial" w:hAnsi="Arial"/>
                <w:b/>
                <w:bCs/>
                <w:color w:val="C53030"/>
                <w:sz w:val="22"/>
                <w:szCs w:val="22"/>
              </w:rPr>
              <w:t xml:space="preserve">Sprint 3 Key Risks</w:t>
            </w:r>
          </w:p>
          <w:p>
            <w:r>
              <w:rPr>
                <w:rFonts w:ascii="Arial" w:cs="Arial" w:eastAsia="Arial" w:hAnsi="Arial"/>
                <w:color w:val="7F1D1D"/>
                <w:sz w:val="20"/>
                <w:szCs w:val="20"/>
              </w:rPr>
              <w:t xml:space="preserve">(1) Franchise commitment before entitlement certainty → contractual obligation without permit. MITIGATION: Negotiate entitlement contingency in franchise agreement; standard practice for new-build hotels. Never sign franchise agreement without entitlement exit clause. (2) Hotel CUP denial → lost pre-development capital. MITIGATION: Conduct thorough pre-application process; get planning staff preliminary feedback in writing; assess community opposition before filing. Budget $50K–$100K pre-development at risk. (3) ABC license denial → hotel F&amp;B plan compromised. MITIGATION: Check census tract saturation before site commitment; file ABC application concurrent with CUP. (4) Market downturn between entitlement and opening → negative leverage. MITIGATION: Build 18-month absorption delay into pro forma; stress-test at 15% RevPAR reduction.</w:t>
            </w:r>
          </w:p>
        </w:tc>
      </w:tr>
    </w:tbl>
    <w:p>
      <w:pPr>
        <w:pStyle w:val="Heading3"/>
      </w:pPr>
      <w:r>
        <w:t xml:space="preserve">3.5 Sprint 3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Metric</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Target</w:t>
            </w:r>
          </w:p>
        </w:tc>
        <w:tc>
          <w:tcPr>
            <w:tcW w:type="dxa" w:w="4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Measurement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Market studies completed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2–3 (target markets)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Written market feasibility</w:t>
            </w:r>
          </w:p>
        </w:tc>
      </w:tr>
      <w:tr>
        <w:tc>
          <w:tcPr>
            <w:tcW w:type="dxa" w:w="2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Franchise LOIs evaluated</w:t>
            </w:r>
          </w:p>
        </w:tc>
        <w:tc>
          <w:tcPr>
            <w:tcW w:type="dxa" w:w="2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3–5</w:t>
            </w:r>
          </w:p>
        </w:tc>
        <w:tc>
          <w:tcPr>
            <w:tcW w:type="dxa" w:w="45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Term sheet comparisons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Hotel CUP filed or ready to file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1</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Complete application package</w:t>
            </w:r>
          </w:p>
        </w:tc>
      </w:tr>
      <w:tr>
        <w:tc>
          <w:tcPr>
            <w:tcW w:type="dxa" w:w="2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Hotel pro forma models</w:t>
            </w:r>
          </w:p>
        </w:tc>
        <w:tc>
          <w:tcPr>
            <w:tcW w:type="dxa" w:w="2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2–3</w:t>
            </w:r>
          </w:p>
        </w:tc>
        <w:tc>
          <w:tcPr>
            <w:tcW w:type="dxa" w:w="45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Brand-specific models with sensitivity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PE fund presentations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1–2</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Investor deck with hotel deal structure</w:t>
            </w:r>
          </w:p>
        </w:tc>
      </w:tr>
      <w:tr>
        <w:tc>
          <w:tcPr>
            <w:tcW w:type="dxa" w:w="2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Partnership LOI</w:t>
            </w:r>
          </w:p>
        </w:tc>
        <w:tc>
          <w:tcPr>
            <w:tcW w:type="dxa" w:w="2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1</w:t>
            </w:r>
          </w:p>
        </w:tc>
        <w:tc>
          <w:tcPr>
            <w:tcW w:type="dxa" w:w="45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Hotel development partnership structured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28A745" w:sz="4"/>
              <w:right w:val="none" w:sz="0"/>
            </w:tcBorders>
            <w:shd w:fill="EDF2F7" w:val="clear"/>
            <w:tcMar>
              <w:top w:type="dxa" w:w="120"/>
              <w:left w:type="dxa" w:w="200"/>
              <w:bottom w:type="dxa" w:w="80"/>
              <w:right w:type="dxa" w:w="200"/>
            </w:tcMar>
          </w:tcPr>
          <w:p>
            <w:r>
              <w:rPr>
                <w:rFonts w:ascii="Georgia" w:cs="Georgia" w:eastAsia="Georgia" w:hAnsi="Georgia"/>
                <w:b/>
                <w:bCs/>
                <w:color w:val="28A745"/>
                <w:sz w:val="28"/>
                <w:szCs w:val="28"/>
              </w:rPr>
              <w:t xml:space="preserve">Sprint 4: Modular — Construction Innovation</w:t>
            </w:r>
          </w:p>
          <w:p>
            <w:r>
              <w:rPr>
                <w:rFonts w:ascii="Arial" w:cs="Arial" w:eastAsia="Arial" w:hAnsi="Arial"/>
                <w:color w:val="6B7280"/>
                <w:sz w:val="20"/>
                <w:szCs w:val="20"/>
              </w:rPr>
              <w:t xml:space="preserve">Weeks 37–48 | 15–20 hrs/week | Competitive Moat</w:t>
            </w:r>
          </w:p>
        </w:tc>
      </w:tr>
    </w:tbl>
    <w:p>
      <w:pPr>
        <w:spacing w:before="100"/>
      </w:pPr>
    </w:p>
    <w:p>
      <w:pPr>
        <w:pStyle w:val="Heading2"/>
      </w:pPr>
      <w:r>
        <w:t xml:space="preserve">Sprint 4: Modular — Construction Innovation</w:t>
      </w:r>
    </w:p>
    <w:p>
      <w:pPr>
        <w:pStyle w:val="Heading3"/>
      </w:pPr>
      <w:r>
        <w:t xml:space="preserve">4.1 Objective</w:t>
      </w:r>
    </w:p>
    <w:p>
      <w:pPr>
        <w:spacing w:before="80" w:after="80"/>
      </w:pPr>
      <w:r>
        <w:rPr>
          <w:rFonts w:ascii="Arial" w:cs="Arial" w:eastAsia="Arial" w:hAnsi="Arial"/>
          <w:color w:val="1A1A1A"/>
          <w:sz w:val="22"/>
          <w:szCs w:val="22"/>
        </w:rPr>
        <w:t xml:space="preserve">Develop modular construction expertise that becomes SVDen’s competitive differentiator. Connect your CFS knowledge, Asian supply chain relationships, and Pankow CM experience into a modular development capability that commands premium positioning with hotel franchisors and multifamily developers.</w:t>
      </w:r>
    </w:p>
    <w:p>
      <w:pPr>
        <w:pStyle w:val="Heading3"/>
      </w:pPr>
      <w:r>
        <w:t xml:space="preserve">4.2 MVP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3200"/>
        <w:gridCol w:w="2960"/>
      </w:tblGrid>
      <w:tr>
        <w:trPr>
          <w:tblHeader/>
        </w:trPr>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Week</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Focus</w:t>
            </w:r>
          </w:p>
        </w:tc>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MVP Deliverable</w:t>
            </w:r>
          </w:p>
        </w:tc>
        <w:tc>
          <w:tcPr>
            <w:tcW w:type="dxa" w:w="2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Strategic Value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37–38</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Modular Technical Deep Dive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Module spec comparison: CFS vs. steel vs. concrete podium</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Foundation for manufacturer negotiations</w:t>
            </w:r>
          </w:p>
        </w:tc>
      </w:tr>
      <w:tr>
        <w:tc>
          <w:tcPr>
            <w:tcW w:type="dxa" w:w="1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39–40</w:t>
            </w:r>
          </w:p>
        </w:tc>
        <w:tc>
          <w:tcPr>
            <w:tcW w:type="dxa" w:w="2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Manufacturer Evaluation</w:t>
            </w:r>
          </w:p>
        </w:tc>
        <w:tc>
          <w:tcPr>
            <w:tcW w:type="dxa" w:w="3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Supplier matrix: CIMC, Polcom, Guerdon, domestic options</w:t>
            </w:r>
          </w:p>
        </w:tc>
        <w:tc>
          <w:tcPr>
            <w:tcW w:type="dxa" w:w="29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Supply chain strategy</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41–42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Modular BIM / Revit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Module family library in Revit; stacking coordination model</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Design capability</w:t>
            </w:r>
          </w:p>
        </w:tc>
      </w:tr>
      <w:tr>
        <w:tc>
          <w:tcPr>
            <w:tcW w:type="dxa" w:w="1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43–44</w:t>
            </w:r>
          </w:p>
        </w:tc>
        <w:tc>
          <w:tcPr>
            <w:tcW w:type="dxa" w:w="2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Transport + Logistics</w:t>
            </w:r>
          </w:p>
        </w:tc>
        <w:tc>
          <w:tcPr>
            <w:tcW w:type="dxa" w:w="3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CA transport regs; port logistics; crane planning methodology</w:t>
            </w:r>
          </w:p>
        </w:tc>
        <w:tc>
          <w:tcPr>
            <w:tcW w:type="dxa" w:w="29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Project execution capability</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45–46</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Modular Pro Forma</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Side-by-side cost model: modular vs. conventional for hotel + MF</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Investment-grade analysis</w:t>
            </w:r>
          </w:p>
        </w:tc>
      </w:tr>
      <w:tr>
        <w:tc>
          <w:tcPr>
            <w:tcW w:type="dxa" w:w="1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47–48</w:t>
            </w:r>
          </w:p>
        </w:tc>
        <w:tc>
          <w:tcPr>
            <w:tcW w:type="dxa" w:w="2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Pilot Project Structuring</w:t>
            </w:r>
          </w:p>
        </w:tc>
        <w:tc>
          <w:tcPr>
            <w:tcW w:type="dxa" w:w="3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Modular pilot project proposal for Marriott or MF developer</w:t>
            </w:r>
          </w:p>
        </w:tc>
        <w:tc>
          <w:tcPr>
            <w:tcW w:type="dxa" w:w="29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Revenue-generating engagement</w:t>
            </w:r>
          </w:p>
        </w:tc>
      </w:tr>
    </w:tbl>
    <w:p>
      <w:pPr>
        <w:pStyle w:val="Heading3"/>
      </w:pPr>
      <w:r>
        <w:t xml:space="preserve">4.3 The SVDen Modular Value Proposition</w:t>
      </w:r>
    </w:p>
    <w:p>
      <w:pPr>
        <w:spacing w:before="80" w:after="80"/>
      </w:pPr>
      <w:r>
        <w:rPr>
          <w:rFonts w:ascii="Arial" w:cs="Arial" w:eastAsia="Arial" w:hAnsi="Arial"/>
          <w:color w:val="1A1A1A"/>
          <w:sz w:val="22"/>
          <w:szCs w:val="22"/>
        </w:rPr>
        <w:t xml:space="preserve">Your unique positioning combines capabilities that no single competitor has:</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Capability</w:t>
            </w:r>
          </w:p>
        </w:tc>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Source</w:t>
            </w:r>
          </w:p>
        </w:tc>
        <w:tc>
          <w:tcPr>
            <w:tcW w:type="dxa" w:w="4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Competitive Advantage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CFS structural design</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SVDen + 7 years Pankow</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Deep understanding of steel framing for modular</w:t>
            </w:r>
          </w:p>
        </w:tc>
      </w:tr>
      <w:tr>
        <w:tc>
          <w:tcPr>
            <w:tcW w:type="dxa" w:w="2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Asian supply chain</w:t>
            </w:r>
          </w:p>
        </w:tc>
        <w:tc>
          <w:tcPr>
            <w:tcW w:type="dxa" w:w="26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Chinese manufacturer relationships</w:t>
            </w:r>
          </w:p>
        </w:tc>
        <w:tc>
          <w:tcPr>
            <w:tcW w:type="dxa" w:w="45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Direct access to CIMC, steel fabricators; 30–40% cost advantage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Bilingual (English/Chinese)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Personal</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Eliminate intermediaries in Asian procurement</w:t>
            </w:r>
          </w:p>
        </w:tc>
      </w:tr>
      <w:tr>
        <w:tc>
          <w:tcPr>
            <w:tcW w:type="dxa" w:w="2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CM experience</w:t>
            </w:r>
          </w:p>
        </w:tc>
        <w:tc>
          <w:tcPr>
            <w:tcW w:type="dxa" w:w="26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Pankow (large-scale projects)</w:t>
            </w:r>
          </w:p>
        </w:tc>
        <w:tc>
          <w:tcPr>
            <w:tcW w:type="dxa" w:w="45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Manage complex logistics, quality control, schedule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Nobilia kitchen systems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SVDen dealership</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Premium interior packages for hotel/MF applications</w:t>
            </w:r>
          </w:p>
        </w:tc>
      </w:tr>
      <w:tr>
        <w:tc>
          <w:tcPr>
            <w:tcW w:type="dxa" w:w="2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Construction tech platform</w:t>
            </w:r>
          </w:p>
        </w:tc>
        <w:tc>
          <w:tcPr>
            <w:tcW w:type="dxa" w:w="26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Pacific Coast Platform</w:t>
            </w:r>
          </w:p>
        </w:tc>
        <w:tc>
          <w:tcPr>
            <w:tcW w:type="dxa" w:w="45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Digital project management for modular workflows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PE fund relationships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$40B+ AUM network</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Capital access for modular hotel developments</w:t>
            </w:r>
          </w:p>
        </w:tc>
      </w:tr>
      <w:tr>
        <w:tc>
          <w:tcPr>
            <w:tcW w:type="dxa" w:w="2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Tokenization platform</w:t>
            </w:r>
          </w:p>
        </w:tc>
        <w:tc>
          <w:tcPr>
            <w:tcW w:type="dxa" w:w="26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xwire.ai</w:t>
            </w:r>
          </w:p>
        </w:tc>
        <w:tc>
          <w:tcPr>
            <w:tcW w:type="dxa" w:w="45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Novel financing structures for modular hotel condos</w:t>
            </w:r>
          </w:p>
        </w:tc>
      </w:tr>
    </w:tbl>
    <w:p>
      <w:pPr>
        <w:pStyle w:val="Heading3"/>
      </w:pPr>
      <w:r>
        <w:t xml:space="preserve">4.4 Manufacturer Negotiation Strategy</w:t>
      </w:r>
    </w:p>
    <w:p>
      <w:pPr>
        <w:spacing w:before="80" w:after="80"/>
      </w:pPr>
      <w:r>
        <w:rPr>
          <w:rFonts w:ascii="Arial" w:cs="Arial" w:eastAsia="Arial" w:hAnsi="Arial"/>
          <w:color w:val="1A1A1A"/>
          <w:sz w:val="22"/>
          <w:szCs w:val="22"/>
        </w:rPr>
        <w:t xml:space="preserve">Approach manufacturer relationships in tiers:</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3200"/>
        <w:gridCol w:w="2360"/>
      </w:tblGrid>
      <w:tr>
        <w:trPr>
          <w:tblHeader/>
        </w:trPr>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Tier</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Manufacturer</w:t>
            </w:r>
          </w:p>
        </w:tc>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Approach</w:t>
            </w:r>
          </w:p>
        </w:tc>
        <w:tc>
          <w:tcPr>
            <w:tcW w:type="dxa" w:w="2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Timeline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1: Chinese Direct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CIMC, Chinese CFS fabricators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Leverage existing relationships; factory visits; negotiate pilot pricing</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Months 1–3 of sprint</w:t>
            </w:r>
          </w:p>
        </w:tc>
      </w:tr>
      <w:tr>
        <w:tc>
          <w:tcPr>
            <w:tcW w:type="dxa" w:w="16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2: Marriott Pre-Approved</w:t>
            </w:r>
          </w:p>
        </w:tc>
        <w:tc>
          <w:tcPr>
            <w:tcW w:type="dxa" w:w="2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Guerdon, Champion</w:t>
            </w:r>
          </w:p>
        </w:tc>
        <w:tc>
          <w:tcPr>
            <w:tcW w:type="dxa" w:w="3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Position as CM/developer partner; bring deal flow</w:t>
            </w:r>
          </w:p>
        </w:tc>
        <w:tc>
          <w:tcPr>
            <w:tcW w:type="dxa" w:w="23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Months 2–3 of sprint</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3: European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Polcom, DMD Modular</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Evaluate for Hawaii/Belize projects where ocean shipping is neutral</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Month 3 of sprint</w:t>
            </w:r>
          </w:p>
        </w:tc>
      </w:tr>
      <w:tr>
        <w:tc>
          <w:tcPr>
            <w:tcW w:type="dxa" w:w="16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4: Domestic Startups</w:t>
            </w:r>
          </w:p>
        </w:tc>
        <w:tc>
          <w:tcPr>
            <w:tcW w:type="dxa" w:w="2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Full Stack Modular, Autovol</w:t>
            </w:r>
          </w:p>
        </w:tc>
        <w:tc>
          <w:tcPr>
            <w:tcW w:type="dxa" w:w="3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Track for future partnerships; evaluate technology</w:t>
            </w:r>
          </w:p>
        </w:tc>
        <w:tc>
          <w:tcPr>
            <w:tcW w:type="dxa" w:w="23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Ongoing monitoring</w:t>
            </w:r>
          </w:p>
        </w:tc>
      </w:tr>
    </w:tbl>
    <w:p>
      <w:pPr>
        <w:pStyle w:val="Heading3"/>
      </w:pPr>
      <w:r>
        <w:t xml:space="preserve">4.5 Risk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3030" w:sz="6"/>
              <w:left w:val="none" w:sz="0"/>
              <w:bottom w:val="none" w:sz="0"/>
              <w:right w:val="none" w:sz="0"/>
            </w:tcBorders>
            <w:shd w:fill="FEF2F2" w:val="clear"/>
            <w:tcMar>
              <w:top w:type="dxa" w:w="120"/>
              <w:left w:type="dxa" w:w="200"/>
              <w:bottom w:type="dxa" w:w="120"/>
              <w:right w:type="dxa" w:w="200"/>
            </w:tcMar>
          </w:tcPr>
          <w:p>
            <w:pPr>
              <w:spacing w:after="40"/>
            </w:pPr>
            <w:r>
              <w:rPr>
                <w:rFonts w:ascii="Arial" w:cs="Arial" w:eastAsia="Arial" w:hAnsi="Arial"/>
                <w:b/>
                <w:bCs/>
                <w:color w:val="C53030"/>
                <w:sz w:val="22"/>
                <w:szCs w:val="22"/>
              </w:rPr>
              <w:t xml:space="preserve">Sprint 4 Key Risks</w:t>
            </w:r>
          </w:p>
          <w:p>
            <w:r>
              <w:rPr>
                <w:rFonts w:ascii="Arial" w:cs="Arial" w:eastAsia="Arial" w:hAnsi="Arial"/>
                <w:color w:val="7F1D1D"/>
                <w:sz w:val="20"/>
                <w:szCs w:val="20"/>
              </w:rPr>
              <w:t xml:space="preserve">(1) Module quality from new supplier → rework, delays, franchise non-compliance. MITIGATION: Require factory inspection protocol; engage third-party QC; build sample module before committing to full order. (2) Ocean shipping disruption → schedule blown. MITIGATION: Build 30-day shipping buffer into schedule; identify backup domestic supplier for critical-path scenarios. (3) Crane/logistics failure on stacking day → daily burn with modules on-site. MITIGATION: Detailed logistics plan with crane company; weather contingency days; staging area secured. (4) California seismic rejection of modular connections → redesign required. MITIGATION: Engage CA-licensed structural engineer with modular experience from project inception; peer review connection details before manufacturing.</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D97706" w:sz="4"/>
              <w:right w:val="none" w:sz="0"/>
            </w:tcBorders>
            <w:shd w:fill="EDF2F7" w:val="clear"/>
            <w:tcMar>
              <w:top w:type="dxa" w:w="120"/>
              <w:left w:type="dxa" w:w="200"/>
              <w:bottom w:type="dxa" w:w="80"/>
              <w:right w:type="dxa" w:w="200"/>
            </w:tcMar>
          </w:tcPr>
          <w:p>
            <w:r>
              <w:rPr>
                <w:rFonts w:ascii="Georgia" w:cs="Georgia" w:eastAsia="Georgia" w:hAnsi="Georgia"/>
                <w:b/>
                <w:bCs/>
                <w:color w:val="D97706"/>
                <w:sz w:val="28"/>
                <w:szCs w:val="28"/>
              </w:rPr>
              <w:t xml:space="preserve">Sprint 5: Integration — Full Platform</w:t>
            </w:r>
          </w:p>
          <w:p>
            <w:r>
              <w:rPr>
                <w:rFonts w:ascii="Arial" w:cs="Arial" w:eastAsia="Arial" w:hAnsi="Arial"/>
                <w:color w:val="6B7280"/>
                <w:sz w:val="20"/>
                <w:szCs w:val="20"/>
              </w:rPr>
              <w:t xml:space="preserve">Weeks 49–60 | 20+ hrs/week | Platform Business</w:t>
            </w:r>
          </w:p>
        </w:tc>
      </w:tr>
    </w:tbl>
    <w:p>
      <w:pPr>
        <w:spacing w:before="100"/>
      </w:pPr>
    </w:p>
    <w:p>
      <w:pPr>
        <w:pStyle w:val="Heading2"/>
      </w:pPr>
      <w:r>
        <w:t xml:space="preserve">Sprint 5: Integration — Full Platform Business</w:t>
      </w:r>
    </w:p>
    <w:p>
      <w:pPr>
        <w:pStyle w:val="Heading3"/>
      </w:pPr>
      <w:r>
        <w:t xml:space="preserve">5.1 Objective</w:t>
      </w:r>
    </w:p>
    <w:p>
      <w:pPr>
        <w:spacing w:before="80" w:after="80"/>
      </w:pPr>
      <w:r>
        <w:rPr>
          <w:rFonts w:ascii="Arial" w:cs="Arial" w:eastAsia="Arial" w:hAnsi="Arial"/>
          <w:color w:val="1A1A1A"/>
          <w:sz w:val="22"/>
          <w:szCs w:val="22"/>
        </w:rPr>
        <w:t xml:space="preserve">Integrate all capabilities into a platform business model where SVDen operates as a vertically integrated developer with modular construction, hotel franchise relationships, international supply chain, and technology-enabled project management. This sprint transitions from individual competencies to a scalable business model.</w:t>
      </w:r>
    </w:p>
    <w:p>
      <w:pPr>
        <w:pStyle w:val="Heading3"/>
      </w:pPr>
      <w:r>
        <w:t xml:space="preserve">5.2 The Integrated Platform</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2960"/>
      </w:tblGrid>
      <w:tr>
        <w:trPr>
          <w:tblHeader/>
        </w:trPr>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Platform Layer</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Component</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Revenue Model</w:t>
            </w:r>
          </w:p>
        </w:tc>
        <w:tc>
          <w:tcPr>
            <w:tcW w:type="dxa" w:w="2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Moat</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Deal Sourcing</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48-hour evaluation system + GIS pipeline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Development fees + equity returns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Speed + systematic approach</w:t>
            </w:r>
          </w:p>
        </w:tc>
      </w:tr>
      <w:tr>
        <w:tc>
          <w:tcPr>
            <w:tcW w:type="dxa" w:w="16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Entitlements</w:t>
            </w:r>
          </w:p>
        </w:tc>
        <w:tc>
          <w:tcPr>
            <w:tcW w:type="dxa" w:w="24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Land use expertise (residential + hotel)</w:t>
            </w:r>
          </w:p>
        </w:tc>
        <w:tc>
          <w:tcPr>
            <w:tcW w:type="dxa" w:w="24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Entitlement management fees</w:t>
            </w:r>
          </w:p>
        </w:tc>
        <w:tc>
          <w:tcPr>
            <w:tcW w:type="dxa" w:w="29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Regulatory knowledge + relationships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Design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Revit BIM + modular prototypes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Design-build contracts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Modular library + brand experience</w:t>
            </w:r>
          </w:p>
        </w:tc>
      </w:tr>
      <w:tr>
        <w:tc>
          <w:tcPr>
            <w:tcW w:type="dxa" w:w="16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Supply Chain</w:t>
            </w:r>
          </w:p>
        </w:tc>
        <w:tc>
          <w:tcPr>
            <w:tcW w:type="dxa" w:w="24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Chinese CFS + modules + Nobilia kitchens</w:t>
            </w:r>
          </w:p>
        </w:tc>
        <w:tc>
          <w:tcPr>
            <w:tcW w:type="dxa" w:w="24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Procurement margin + volume pricing</w:t>
            </w:r>
          </w:p>
        </w:tc>
        <w:tc>
          <w:tcPr>
            <w:tcW w:type="dxa" w:w="29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Direct manufacturer access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Construction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CFS/modular CM capability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CM fees + guaranteed max price</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Pankow experience + modular expertise</w:t>
            </w:r>
          </w:p>
        </w:tc>
      </w:tr>
      <w:tr>
        <w:tc>
          <w:tcPr>
            <w:tcW w:type="dxa" w:w="16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Technology</w:t>
            </w:r>
          </w:p>
        </w:tc>
        <w:tc>
          <w:tcPr>
            <w:tcW w:type="dxa" w:w="24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Pacific Coast Platform + xwire.ai</w:t>
            </w:r>
          </w:p>
        </w:tc>
        <w:tc>
          <w:tcPr>
            <w:tcW w:type="dxa" w:w="24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SaaS revenue + tokenization fees</w:t>
            </w:r>
          </w:p>
        </w:tc>
        <w:tc>
          <w:tcPr>
            <w:tcW w:type="dxa" w:w="29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Proprietary platform</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Capital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PE fund relationships + tokenized offerings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Promote/carried interest + platform fees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$40B+ AUM relationship base</w:t>
            </w:r>
          </w:p>
        </w:tc>
      </w:tr>
    </w:tbl>
    <w:p>
      <w:pPr>
        <w:pStyle w:val="Heading3"/>
      </w:pPr>
      <w:r>
        <w:t xml:space="preserve">5.3 Target Project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200"/>
        <w:gridCol w:w="2200"/>
        <w:gridCol w:w="2560"/>
      </w:tblGrid>
      <w:tr>
        <w:trPr>
          <w:tblHeader/>
        </w:trPr>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Project Type</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Example</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Size</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Modular Approach</w:t>
            </w:r>
          </w:p>
        </w:tc>
        <w:tc>
          <w:tcPr>
            <w:tcW w:type="dxa" w:w="2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Revenue Target</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SFR + ADU (SB 9)</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Longfellow-style lot splits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2–4 units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Panelized CFS + Nobilia kitchens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$50K–$100K margin/project</w:t>
            </w:r>
          </w:p>
        </w:tc>
      </w:tr>
      <w:tr>
        <w:tc>
          <w:tcPr>
            <w:tcW w:type="dxa" w:w="16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Small Multifamily</w:t>
            </w:r>
          </w:p>
        </w:tc>
        <w:tc>
          <w:tcPr>
            <w:tcW w:type="dxa" w:w="1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10–30 units, Bay Area infill</w:t>
            </w:r>
          </w:p>
        </w:tc>
        <w:tc>
          <w:tcPr>
            <w:tcW w:type="dxa" w:w="1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SB 35 ministerial</w:t>
            </w:r>
          </w:p>
        </w:tc>
        <w:tc>
          <w:tcPr>
            <w:tcW w:type="dxa" w:w="2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CFS panelized or hybrid modular</w:t>
            </w:r>
          </w:p>
        </w:tc>
        <w:tc>
          <w:tcPr>
            <w:tcW w:type="dxa" w:w="25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$200K–$500K margin/project</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Large Multifamily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Eagle Garden scale (200+ units)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Discretionary or SB 35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Volumetric modular on podium</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$2M–$5M development fee</w:t>
            </w:r>
          </w:p>
        </w:tc>
      </w:tr>
      <w:tr>
        <w:tc>
          <w:tcPr>
            <w:tcW w:type="dxa" w:w="16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Select-Service Hotel</w:t>
            </w:r>
          </w:p>
        </w:tc>
        <w:tc>
          <w:tcPr>
            <w:tcW w:type="dxa" w:w="1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Marriott Fairfield/Courtyard</w:t>
            </w:r>
          </w:p>
        </w:tc>
        <w:tc>
          <w:tcPr>
            <w:tcW w:type="dxa" w:w="1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80–180 keys</w:t>
            </w:r>
          </w:p>
        </w:tc>
        <w:tc>
          <w:tcPr>
            <w:tcW w:type="dxa" w:w="2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Full modular (Marriott program)</w:t>
            </w:r>
          </w:p>
        </w:tc>
        <w:tc>
          <w:tcPr>
            <w:tcW w:type="dxa" w:w="25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$1M–$3M development fee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Lifestyle Hotel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citizenM-style boutique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150–300 keys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Volumetric modular (Asian supply)</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$2M–$5M development fee</w:t>
            </w:r>
          </w:p>
        </w:tc>
      </w:tr>
      <w:tr>
        <w:tc>
          <w:tcPr>
            <w:tcW w:type="dxa" w:w="16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Resort/Destination Hotel</w:t>
            </w:r>
          </w:p>
        </w:tc>
        <w:tc>
          <w:tcPr>
            <w:tcW w:type="dxa" w:w="1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Hawaii, Belize concepts</w:t>
            </w:r>
          </w:p>
        </w:tc>
        <w:tc>
          <w:tcPr>
            <w:tcW w:type="dxa" w:w="1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100–250 keys</w:t>
            </w:r>
          </w:p>
        </w:tc>
        <w:tc>
          <w:tcPr>
            <w:tcW w:type="dxa" w:w="2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Hybrid modular + site-built amenities</w:t>
            </w:r>
          </w:p>
        </w:tc>
        <w:tc>
          <w:tcPr>
            <w:tcW w:type="dxa" w:w="25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$3M–$8M development fee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Tokenized Hotel Condo</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xwire.ai platform offering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Varies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Modular construction + token sales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Platform fees + promote</w:t>
            </w:r>
          </w:p>
        </w:tc>
      </w:tr>
    </w:tbl>
    <w:p>
      <w:pPr>
        <w:pStyle w:val="Heading3"/>
      </w:pPr>
      <w:r>
        <w:t xml:space="preserve">5.4 Risk Management — Portfolio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3030" w:sz="6"/>
              <w:left w:val="none" w:sz="0"/>
              <w:bottom w:val="none" w:sz="0"/>
              <w:right w:val="none" w:sz="0"/>
            </w:tcBorders>
            <w:shd w:fill="FEF2F2" w:val="clear"/>
            <w:tcMar>
              <w:top w:type="dxa" w:w="120"/>
              <w:left w:type="dxa" w:w="200"/>
              <w:bottom w:type="dxa" w:w="120"/>
              <w:right w:type="dxa" w:w="200"/>
            </w:tcMar>
          </w:tcPr>
          <w:p>
            <w:pPr>
              <w:spacing w:after="40"/>
            </w:pPr>
            <w:r>
              <w:rPr>
                <w:rFonts w:ascii="Arial" w:cs="Arial" w:eastAsia="Arial" w:hAnsi="Arial"/>
                <w:b/>
                <w:bCs/>
                <w:color w:val="C53030"/>
                <w:sz w:val="22"/>
                <w:szCs w:val="22"/>
              </w:rPr>
              <w:t xml:space="preserve">Portfolio Risks</w:t>
            </w:r>
          </w:p>
          <w:p>
            <w:r>
              <w:rPr>
                <w:rFonts w:ascii="Arial" w:cs="Arial" w:eastAsia="Arial" w:hAnsi="Arial"/>
                <w:color w:val="7F1D1D"/>
                <w:sz w:val="20"/>
                <w:szCs w:val="20"/>
              </w:rPr>
              <w:t xml:space="preserve">(1) Over-extension across too many project types → quality drops. MITIGATION: Limit to 2–3 active projects in first 12 months; use Sprint 1–4 capabilities to screen aggressively. (2) Market cycle downturn → development pipeline freezes. MITIGATION: Maintain optionality — CM/consulting fees provide cash flow independent of development returns. Modular consulting is countercyclical (developers seek cost reduction in downturns). (3) Key person risk (you) → capacity constraint. MITIGATION: Document all processes in Cowork library; build team with complementary skills (land use attorney, structural engineer, project coordinator). (4) Regulatory change → housing law benefits reversed. MITIGATION: Diversify into hotel and modular consulting which are less dependent on specific housing statutes.</w:t>
            </w:r>
          </w:p>
        </w:tc>
      </w:tr>
    </w:tbl>
    <w:p>
      <w:r>
        <w:br w:type="page"/>
      </w:r>
    </w:p>
    <w:p>
      <w:pPr>
        <w:pStyle w:val="Heading1"/>
      </w:pPr>
      <w:r>
        <w:t xml:space="preserve">Comprehensive Risk Management Framework</w:t>
      </w:r>
    </w:p>
    <w:p>
      <w:pPr>
        <w:spacing w:before="80" w:after="80"/>
      </w:pPr>
      <w:r>
        <w:rPr>
          <w:rFonts w:ascii="Arial" w:cs="Arial" w:eastAsia="Arial" w:hAnsi="Arial"/>
          <w:color w:val="1A1A1A"/>
          <w:sz w:val="22"/>
          <w:szCs w:val="22"/>
        </w:rPr>
        <w:t xml:space="preserve">Risk management for a multi-vertical development business requires a layered approach. This framework organizes risks by category and provides specific mitigation strategies at each phase.</w:t>
      </w:r>
    </w:p>
    <w:p>
      <w:pPr>
        <w:pStyle w:val="Heading2"/>
      </w:pPr>
      <w:r>
        <w:t xml:space="preserve">Risk Category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000"/>
        <w:gridCol w:w="1600"/>
        <w:gridCol w:w="3560"/>
      </w:tblGrid>
      <w:tr>
        <w:trPr>
          <w:tblHeader/>
        </w:trPr>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Category</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Risk</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Probability</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Impact</w:t>
            </w:r>
          </w:p>
        </w:tc>
        <w:tc>
          <w:tcPr>
            <w:tcW w:type="dxa" w:w="3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Mitigation Strategy</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Regulatory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CEQA challenge on hotel project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Medium</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High ($200K–$500K defense + delay)</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Build defensible record; engage CEQA counsel early; consider settlement strategy</w:t>
            </w:r>
          </w:p>
        </w:tc>
      </w:tr>
      <w:tr>
        <w:tc>
          <w:tcPr>
            <w:tcW w:type="dxa" w:w="1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Regulatory</w:t>
            </w:r>
          </w:p>
        </w:tc>
        <w:tc>
          <w:tcPr>
            <w:tcW w:type="dxa" w:w="2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Zoning code interpretation dispute</w:t>
            </w:r>
          </w:p>
        </w:tc>
        <w:tc>
          <w:tcPr>
            <w:tcW w:type="dxa" w:w="1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Medium</w:t>
            </w:r>
          </w:p>
        </w:tc>
        <w:tc>
          <w:tcPr>
            <w:tcW w:type="dxa" w:w="16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Medium (3–6 month delay)</w:t>
            </w:r>
          </w:p>
        </w:tc>
        <w:tc>
          <w:tcPr>
            <w:tcW w:type="dxa" w:w="35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Get planning staff written confirmation; file pre-application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Regulatory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Housing law changes (repeal SB 35/SB 9)</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Low</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High (pipeline impact)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Diversify into hotel; don’t over-index on single statute</w:t>
            </w:r>
          </w:p>
        </w:tc>
      </w:tr>
      <w:tr>
        <w:tc>
          <w:tcPr>
            <w:tcW w:type="dxa" w:w="1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Financial</w:t>
            </w:r>
          </w:p>
        </w:tc>
        <w:tc>
          <w:tcPr>
            <w:tcW w:type="dxa" w:w="2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Interest rate spike during construction</w:t>
            </w:r>
          </w:p>
        </w:tc>
        <w:tc>
          <w:tcPr>
            <w:tcW w:type="dxa" w:w="1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Medium</w:t>
            </w:r>
          </w:p>
        </w:tc>
        <w:tc>
          <w:tcPr>
            <w:tcW w:type="dxa" w:w="16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High (project economics)</w:t>
            </w:r>
          </w:p>
        </w:tc>
        <w:tc>
          <w:tcPr>
            <w:tcW w:type="dxa" w:w="35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Lock construction financing early; build rate sensitivity into pro forma</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Financial</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Impact fee increase between filing and permit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Medium</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Medium ($50K–$200K)</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File SB 330 prelim app immediately; vest fee schedule</w:t>
            </w:r>
          </w:p>
        </w:tc>
      </w:tr>
      <w:tr>
        <w:tc>
          <w:tcPr>
            <w:tcW w:type="dxa" w:w="1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Financial</w:t>
            </w:r>
          </w:p>
        </w:tc>
        <w:tc>
          <w:tcPr>
            <w:tcW w:type="dxa" w:w="2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Hotel RevPAR decline post-opening</w:t>
            </w:r>
          </w:p>
        </w:tc>
        <w:tc>
          <w:tcPr>
            <w:tcW w:type="dxa" w:w="1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Medium</w:t>
            </w:r>
          </w:p>
        </w:tc>
        <w:tc>
          <w:tcPr>
            <w:tcW w:type="dxa" w:w="16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High (debt service)</w:t>
            </w:r>
          </w:p>
        </w:tc>
        <w:tc>
          <w:tcPr>
            <w:tcW w:type="dxa" w:w="35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Stress-test at 85% of projected RevPAR; build reserves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Construction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Modular quality issue from new supplier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Medium</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High (schedule + rework)</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Factory inspection; sample module; phased commitment</w:t>
            </w:r>
          </w:p>
        </w:tc>
      </w:tr>
      <w:tr>
        <w:tc>
          <w:tcPr>
            <w:tcW w:type="dxa" w:w="1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Construction</w:t>
            </w:r>
          </w:p>
        </w:tc>
        <w:tc>
          <w:tcPr>
            <w:tcW w:type="dxa" w:w="2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Shipping delay (Asian supply chain)</w:t>
            </w:r>
          </w:p>
        </w:tc>
        <w:tc>
          <w:tcPr>
            <w:tcW w:type="dxa" w:w="1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Medium</w:t>
            </w:r>
          </w:p>
        </w:tc>
        <w:tc>
          <w:tcPr>
            <w:tcW w:type="dxa" w:w="16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Medium (1–3 month)</w:t>
            </w:r>
          </w:p>
        </w:tc>
        <w:tc>
          <w:tcPr>
            <w:tcW w:type="dxa" w:w="35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30-day buffer; backup domestic option; early procurement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Construction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Seismic connection failure in testing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Low</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Very High (redesign)</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Peer-reviewed structural design; prototype testing</w:t>
            </w:r>
          </w:p>
        </w:tc>
      </w:tr>
      <w:tr>
        <w:tc>
          <w:tcPr>
            <w:tcW w:type="dxa" w:w="1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Market</w:t>
            </w:r>
          </w:p>
        </w:tc>
        <w:tc>
          <w:tcPr>
            <w:tcW w:type="dxa" w:w="2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Community opposition to hotel</w:t>
            </w:r>
          </w:p>
        </w:tc>
        <w:tc>
          <w:tcPr>
            <w:tcW w:type="dxa" w:w="1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Medium</w:t>
            </w:r>
          </w:p>
        </w:tc>
        <w:tc>
          <w:tcPr>
            <w:tcW w:type="dxa" w:w="16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High (CUP denial)</w:t>
            </w:r>
          </w:p>
        </w:tc>
        <w:tc>
          <w:tcPr>
            <w:tcW w:type="dxa" w:w="35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Pre-application outreach; community benefits package; modify design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Market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Franchise brand changes standards mid-project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Low</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Medium (cost increase)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Lock brand standards in franchise agreement; PIP protection clause</w:t>
            </w:r>
          </w:p>
        </w:tc>
      </w:tr>
      <w:tr>
        <w:tc>
          <w:tcPr>
            <w:tcW w:type="dxa" w:w="1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Operational</w:t>
            </w:r>
          </w:p>
        </w:tc>
        <w:tc>
          <w:tcPr>
            <w:tcW w:type="dxa" w:w="2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Key person capacity (sole operator)</w:t>
            </w:r>
          </w:p>
        </w:tc>
        <w:tc>
          <w:tcPr>
            <w:tcW w:type="dxa" w:w="1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High</w:t>
            </w:r>
          </w:p>
        </w:tc>
        <w:tc>
          <w:tcPr>
            <w:tcW w:type="dxa" w:w="16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High (throughput)</w:t>
            </w:r>
          </w:p>
        </w:tc>
        <w:tc>
          <w:tcPr>
            <w:tcW w:type="dxa" w:w="35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Systematic documentation; build team; prioritize ruthlessly</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Legal</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Title defect discovered post-closing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Low</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Very High (project viability)</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Title insurance; thorough ALTA survey; quiet title before close</w:t>
            </w:r>
          </w:p>
        </w:tc>
      </w:tr>
      <w:tr>
        <w:tc>
          <w:tcPr>
            <w:tcW w:type="dxa" w:w="1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Legal</w:t>
            </w:r>
          </w:p>
        </w:tc>
        <w:tc>
          <w:tcPr>
            <w:tcW w:type="dxa" w:w="2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ABC license denial</w:t>
            </w:r>
          </w:p>
        </w:tc>
        <w:tc>
          <w:tcPr>
            <w:tcW w:type="dxa" w:w="1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Low–Medium</w:t>
            </w:r>
          </w:p>
        </w:tc>
        <w:tc>
          <w:tcPr>
            <w:tcW w:type="dxa" w:w="16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Medium (hotel F&amp;B plan)</w:t>
            </w:r>
          </w:p>
        </w:tc>
        <w:tc>
          <w:tcPr>
            <w:tcW w:type="dxa" w:w="35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Census tract pre-check; early filing; backup license strategy</w:t>
            </w:r>
          </w:p>
        </w:tc>
      </w:tr>
    </w:tbl>
    <w:p>
      <w:r>
        <w:br w:type="page"/>
      </w:r>
    </w:p>
    <w:p>
      <w:pPr>
        <w:pStyle w:val="Heading2"/>
      </w:pPr>
      <w:r>
        <w:t xml:space="preserve">Risk Mitigation Decision Tree</w:t>
      </w:r>
    </w:p>
    <w:p>
      <w:pPr>
        <w:spacing w:before="80" w:after="80"/>
      </w:pPr>
      <w:r>
        <w:rPr>
          <w:rFonts w:ascii="Arial" w:cs="Arial" w:eastAsia="Arial" w:hAnsi="Arial"/>
          <w:color w:val="1A1A1A"/>
          <w:sz w:val="22"/>
          <w:szCs w:val="22"/>
        </w:rPr>
        <w:t xml:space="preserve">For each new project or significant decision, run through this checklist:</w:t>
      </w:r>
    </w:p>
    <w:p>
      <w:pPr>
        <w:spacing w:before="100"/>
      </w:pPr>
    </w:p>
    <w:p>
      <w:pPr>
        <w:pStyle w:val="ListParagraph"/>
        <w:numPr>
          <w:ilvl w:val="0"/>
          <w:numId w:val="4"/>
        </w:numPr>
      </w:pPr>
      <w:r>
        <w:rPr>
          <w:rFonts w:ascii="Arial" w:cs="Arial" w:eastAsia="Arial" w:hAnsi="Arial"/>
          <w:color w:val="1A1A1A"/>
          <w:sz w:val="22"/>
          <w:szCs w:val="22"/>
        </w:rPr>
        <w:t xml:space="preserve">Can I lose more than $50K if this goes wrong? If yes → engage specialist counsel or consultant for independent validation.</w:t>
      </w:r>
    </w:p>
    <w:p>
      <w:pPr>
        <w:pStyle w:val="ListParagraph"/>
        <w:numPr>
          <w:ilvl w:val="0"/>
          <w:numId w:val="5"/>
        </w:numPr>
      </w:pPr>
      <w:r>
        <w:rPr>
          <w:rFonts w:ascii="Arial" w:cs="Arial" w:eastAsia="Arial" w:hAnsi="Arial"/>
          <w:color w:val="1A1A1A"/>
          <w:sz w:val="22"/>
          <w:szCs w:val="22"/>
        </w:rPr>
        <w:t xml:space="preserve">Is this a discretionary approval? If yes → assume CEQA applies; budget $30K–$100K for environmental review.</w:t>
      </w:r>
    </w:p>
    <w:p>
      <w:pPr>
        <w:pStyle w:val="ListParagraph"/>
        <w:numPr>
          <w:ilvl w:val="0"/>
          <w:numId w:val="5"/>
        </w:numPr>
      </w:pPr>
      <w:r>
        <w:rPr>
          <w:rFonts w:ascii="Arial" w:cs="Arial" w:eastAsia="Arial" w:hAnsi="Arial"/>
          <w:color w:val="1A1A1A"/>
          <w:sz w:val="22"/>
          <w:szCs w:val="22"/>
        </w:rPr>
        <w:t xml:space="preserve">Am I relying on a single statute for project feasibility (e.g., SB 35)? If yes → have fallback entitlement strategy.</w:t>
      </w:r>
    </w:p>
    <w:p>
      <w:pPr>
        <w:pStyle w:val="ListParagraph"/>
        <w:numPr>
          <w:ilvl w:val="0"/>
          <w:numId w:val="5"/>
        </w:numPr>
      </w:pPr>
      <w:r>
        <w:rPr>
          <w:rFonts w:ascii="Arial" w:cs="Arial" w:eastAsia="Arial" w:hAnsi="Arial"/>
          <w:color w:val="1A1A1A"/>
          <w:sz w:val="22"/>
          <w:szCs w:val="22"/>
        </w:rPr>
        <w:t xml:space="preserve">Is the franchise agreement signed before entitlements secured? If yes → ensure entitlement contingency clause exists.</w:t>
      </w:r>
    </w:p>
    <w:p>
      <w:pPr>
        <w:pStyle w:val="ListParagraph"/>
        <w:numPr>
          <w:ilvl w:val="0"/>
          <w:numId w:val="5"/>
        </w:numPr>
      </w:pPr>
      <w:r>
        <w:rPr>
          <w:rFonts w:ascii="Arial" w:cs="Arial" w:eastAsia="Arial" w:hAnsi="Arial"/>
          <w:color w:val="1A1A1A"/>
          <w:sz w:val="22"/>
          <w:szCs w:val="22"/>
        </w:rPr>
        <w:t xml:space="preserve">Am I using a new manufacturer or supplier? If yes → require sample unit, factory inspection, and phased commitment.</w:t>
      </w:r>
    </w:p>
    <w:p>
      <w:pPr>
        <w:pStyle w:val="ListParagraph"/>
        <w:numPr>
          <w:ilvl w:val="0"/>
          <w:numId w:val="5"/>
        </w:numPr>
      </w:pPr>
      <w:r>
        <w:rPr>
          <w:rFonts w:ascii="Arial" w:cs="Arial" w:eastAsia="Arial" w:hAnsi="Arial"/>
          <w:color w:val="1A1A1A"/>
          <w:sz w:val="22"/>
          <w:szCs w:val="22"/>
        </w:rPr>
        <w:t xml:space="preserve">Is the project timeline longer than 24 months? If yes → vest development standards via SB 330 or development agreement.</w:t>
      </w:r>
    </w:p>
    <w:p>
      <w:pPr>
        <w:pStyle w:val="ListParagraph"/>
        <w:numPr>
          <w:ilvl w:val="0"/>
          <w:numId w:val="5"/>
        </w:numPr>
      </w:pPr>
      <w:r>
        <w:rPr>
          <w:rFonts w:ascii="Arial" w:cs="Arial" w:eastAsia="Arial" w:hAnsi="Arial"/>
          <w:color w:val="1A1A1A"/>
          <w:sz w:val="22"/>
          <w:szCs w:val="22"/>
        </w:rPr>
        <w:t xml:space="preserve">Am I personally the only person who can manage this? If yes → document process; identify backup.</w:t>
      </w:r>
    </w:p>
    <w:p>
      <w:pPr>
        <w:pStyle w:val="ListParagraph"/>
        <w:numPr>
          <w:ilvl w:val="0"/>
          <w:numId w:val="5"/>
        </w:numPr>
      </w:pPr>
      <w:r>
        <w:rPr>
          <w:rFonts w:ascii="Arial" w:cs="Arial" w:eastAsia="Arial" w:hAnsi="Arial"/>
          <w:color w:val="1A1A1A"/>
          <w:sz w:val="22"/>
          <w:szCs w:val="22"/>
        </w:rPr>
        <w:t xml:space="preserve">Have I stress-tested the pro forma at -15% revenue and +20% cost? If no → do it before committing equity.</w:t>
      </w:r>
    </w:p>
    <w:p>
      <w:pPr>
        <w:pStyle w:val="Heading2"/>
      </w:pPr>
      <w:r>
        <w:t xml:space="preserve">When to Engage Specialists</w:t>
      </w:r>
    </w:p>
    <w:p>
      <w:pPr>
        <w:spacing w:before="80" w:after="80"/>
      </w:pPr>
      <w:r>
        <w:rPr>
          <w:rFonts w:ascii="Arial" w:cs="Arial" w:eastAsia="Arial" w:hAnsi="Arial"/>
          <w:color w:val="1A1A1A"/>
          <w:sz w:val="22"/>
          <w:szCs w:val="22"/>
        </w:rPr>
        <w:t xml:space="preserve">The MVP approach means doing as much as possible internally, but knowing exactly when to bring in specialists is itself a critical skill. Here’s the decision framework:</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Situation</w:t>
            </w:r>
          </w:p>
        </w:tc>
        <w:tc>
          <w:tcPr>
            <w:tcW w:type="dxa" w:w="348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Internal (Claude + Your Analysis)</w:t>
            </w:r>
          </w:p>
        </w:tc>
        <w:tc>
          <w:tcPr>
            <w:tcW w:type="dxa" w:w="348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Specialist Required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Zoning compliance check</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Yes — routine for familiar jurisdictions</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New jurisdiction; novel use; overlay district conflict</w:t>
            </w:r>
          </w:p>
        </w:tc>
      </w:tr>
      <w:tr>
        <w:tc>
          <w:tcPr>
            <w:tcW w:type="dxa" w:w="24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CEQA determination</w:t>
            </w:r>
          </w:p>
        </w:tc>
        <w:tc>
          <w:tcPr>
            <w:tcW w:type="dxa" w:w="348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Initial screening and exemption analysis</w:t>
            </w:r>
          </w:p>
        </w:tc>
        <w:tc>
          <w:tcPr>
            <w:tcW w:type="dxa" w:w="348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Legal conclusion; MND/EIR preparation; litigation defense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SB 330 preliminary application</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Preparation and review</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Attorney review before filing; any novel interpretation</w:t>
            </w:r>
          </w:p>
        </w:tc>
      </w:tr>
      <w:tr>
        <w:tc>
          <w:tcPr>
            <w:tcW w:type="dxa" w:w="24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Title review</w:t>
            </w:r>
          </w:p>
        </w:tc>
        <w:tc>
          <w:tcPr>
            <w:tcW w:type="dxa" w:w="348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Initial exception review and risk assessment</w:t>
            </w:r>
          </w:p>
        </w:tc>
        <w:tc>
          <w:tcPr>
            <w:tcW w:type="dxa" w:w="348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Quiet title actions; complex easement negotiation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Geotech scope</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Specify scope based on site conditions</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The investigation itself; foundation design recommendations</w:t>
            </w:r>
          </w:p>
        </w:tc>
      </w:tr>
      <w:tr>
        <w:tc>
          <w:tcPr>
            <w:tcW w:type="dxa" w:w="24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Hotel CUP application</w:t>
            </w:r>
          </w:p>
        </w:tc>
        <w:tc>
          <w:tcPr>
            <w:tcW w:type="dxa" w:w="348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Application preparation; studies management</w:t>
            </w:r>
          </w:p>
        </w:tc>
        <w:tc>
          <w:tcPr>
            <w:tcW w:type="dxa" w:w="348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Traffic/noise study execution; hearing testimony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Franchise negotiation</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Term sheet evaluation; fee comparison</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Legal review of franchise agreement; termination provisions</w:t>
            </w:r>
          </w:p>
        </w:tc>
      </w:tr>
      <w:tr>
        <w:tc>
          <w:tcPr>
            <w:tcW w:type="dxa" w:w="24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Modular structural design</w:t>
            </w:r>
          </w:p>
        </w:tc>
        <w:tc>
          <w:tcPr>
            <w:tcW w:type="dxa" w:w="348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Feasibility screening; preliminary concepts</w:t>
            </w:r>
          </w:p>
        </w:tc>
        <w:tc>
          <w:tcPr>
            <w:tcW w:type="dxa" w:w="348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PE-stamped structural drawings; connection design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Pro forma modeling</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Complete modeling and sensitivity analysis</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Appraisal for financing; market study for franchise</w:t>
            </w:r>
          </w:p>
        </w:tc>
      </w:tr>
      <w:tr>
        <w:tc>
          <w:tcPr>
            <w:tcW w:type="dxa" w:w="24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ABC licensing</w:t>
            </w:r>
          </w:p>
        </w:tc>
        <w:tc>
          <w:tcPr>
            <w:tcW w:type="dxa" w:w="348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Application preparation; pre-filing research</w:t>
            </w:r>
          </w:p>
        </w:tc>
        <w:tc>
          <w:tcPr>
            <w:tcW w:type="dxa" w:w="348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Complex licensing; contested applications; appeals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7DD8" w:sz="6"/>
              <w:left w:val="none" w:sz="0"/>
              <w:bottom w:val="none" w:sz="0"/>
              <w:right w:val="none" w:sz="0"/>
            </w:tcBorders>
            <w:shd w:fill="EDF2F7" w:val="clear"/>
            <w:tcMar>
              <w:top w:type="dxa" w:w="120"/>
              <w:left w:type="dxa" w:w="200"/>
              <w:bottom w:type="dxa" w:w="120"/>
              <w:right w:type="dxa" w:w="200"/>
            </w:tcMar>
          </w:tcPr>
          <w:p>
            <w:pPr>
              <w:spacing w:after="40"/>
            </w:pPr>
            <w:r>
              <w:rPr>
                <w:rFonts w:ascii="Arial" w:cs="Arial" w:eastAsia="Arial" w:hAnsi="Arial"/>
                <w:b/>
                <w:bCs/>
                <w:color w:val="3B7DD8"/>
                <w:sz w:val="22"/>
                <w:szCs w:val="22"/>
              </w:rPr>
              <w:t xml:space="preserve">The 80/20 Rule</w:t>
            </w:r>
          </w:p>
          <w:p>
            <w:r>
              <w:rPr>
                <w:rFonts w:ascii="Arial" w:cs="Arial" w:eastAsia="Arial" w:hAnsi="Arial"/>
                <w:color w:val="2E4057"/>
                <w:sz w:val="20"/>
                <w:szCs w:val="20"/>
              </w:rPr>
              <w:t xml:space="preserve">You will be able to handle 80% of land use, entitlement, and construction decisions internally using the competencies built in Sprints 1–4. The remaining 20% — licensed legal conclusions, PE-stamped engineering, certified appraisals, and environmental studies — always requires specialists. The value of your internal capability is not replacing specialists but (a) knowing exactly when you need them, (b) specifying their scope precisely, and (c) reviewing their work critically. This reduces specialist costs by 40–60% because you eliminate exploratory scope and avoid paying for education.</w:t>
            </w:r>
          </w:p>
        </w:tc>
      </w:tr>
    </w:tbl>
    <w:p>
      <w:r>
        <w:br w:type="page"/>
      </w:r>
    </w:p>
    <w:p>
      <w:pPr>
        <w:pStyle w:val="Heading1"/>
      </w:pPr>
      <w:r>
        <w:t xml:space="preserve">Compounding Strategy: How Capabilities Stack</w:t>
      </w:r>
    </w:p>
    <w:p>
      <w:pPr>
        <w:spacing w:before="80" w:after="80"/>
      </w:pPr>
      <w:r>
        <w:rPr>
          <w:rFonts w:ascii="Arial" w:cs="Arial" w:eastAsia="Arial" w:hAnsi="Arial"/>
          <w:color w:val="1A1A1A"/>
          <w:sz w:val="22"/>
          <w:szCs w:val="22"/>
        </w:rPr>
        <w:t xml:space="preserve">The most valuable aspect of this ramp-up is how later capabilities multiply the value of earlier ones. This is not a linear learning path — it’s an exponential one.</w:t>
      </w:r>
    </w:p>
    <w:p>
      <w:pPr>
        <w:pStyle w:val="Heading2"/>
      </w:pPr>
      <w:r>
        <w:t xml:space="preserve">The Compound Effect</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Sprint 1 Foundation +</w:t>
            </w:r>
          </w:p>
        </w:tc>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Sprint 2–4 Addition =</w:t>
            </w:r>
          </w:p>
        </w:tc>
        <w:tc>
          <w:tcPr>
            <w:tcW w:type="dxa" w:w="4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Compound Capability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Zoning fluency</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 Hotel zoning screening</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 Identify highest-and-best-use for any parcel (residential vs. hotel vs. mixed)</w:t>
            </w:r>
          </w:p>
        </w:tc>
      </w:tr>
      <w:tr>
        <w:tc>
          <w:tcPr>
            <w:tcW w:type="dxa" w:w="2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CEQA analysis</w:t>
            </w:r>
          </w:p>
        </w:tc>
        <w:tc>
          <w:tcPr>
            <w:tcW w:type="dxa" w:w="26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 Hotel CEQA experience</w:t>
            </w:r>
          </w:p>
        </w:tc>
        <w:tc>
          <w:tcPr>
            <w:tcW w:type="dxa" w:w="45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 Structure projects to minimize environmental review (design around triggers)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SB 330 / HAA</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 Development agreements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 Lock in entitlements for phased projects with regulatory certainty for 10–25 years</w:t>
            </w:r>
          </w:p>
        </w:tc>
      </w:tr>
      <w:tr>
        <w:tc>
          <w:tcPr>
            <w:tcW w:type="dxa" w:w="2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Geotech reading</w:t>
            </w:r>
          </w:p>
        </w:tc>
        <w:tc>
          <w:tcPr>
            <w:tcW w:type="dxa" w:w="26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 Modular foundation requirements</w:t>
            </w:r>
          </w:p>
        </w:tc>
        <w:tc>
          <w:tcPr>
            <w:tcW w:type="dxa" w:w="45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 Optimize foundation design for modular stacking (save $100K+ on large projects)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Title analysis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 Hotel condo subdivision maps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 Structure tokenized hotel ownership through xwire.ai platform</w:t>
            </w:r>
          </w:p>
        </w:tc>
      </w:tr>
      <w:tr>
        <w:tc>
          <w:tcPr>
            <w:tcW w:type="dxa" w:w="2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Pro forma modeling</w:t>
            </w:r>
          </w:p>
        </w:tc>
        <w:tc>
          <w:tcPr>
            <w:tcW w:type="dxa" w:w="26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 Modular cost data + franchise fees</w:t>
            </w:r>
          </w:p>
        </w:tc>
        <w:tc>
          <w:tcPr>
            <w:tcW w:type="dxa" w:w="45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 Institutional-grade hotel investment memos that attract PE capital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GIS site screening</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 Hotel market data + modular feasibility</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 Systematic pipeline generation across all property types</w:t>
            </w:r>
          </w:p>
        </w:tc>
      </w:tr>
      <w:tr>
        <w:tc>
          <w:tcPr>
            <w:tcW w:type="dxa" w:w="2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Revit BIM</w:t>
            </w:r>
          </w:p>
        </w:tc>
        <w:tc>
          <w:tcPr>
            <w:tcW w:type="dxa" w:w="26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 Modular family library</w:t>
            </w:r>
          </w:p>
        </w:tc>
        <w:tc>
          <w:tcPr>
            <w:tcW w:type="dxa" w:w="45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 Design-assist capability that commands premium fees from developers</w:t>
            </w:r>
          </w:p>
        </w:tc>
      </w:tr>
    </w:tbl>
    <w:p>
      <w:pPr>
        <w:pStyle w:val="Heading2"/>
      </w:pPr>
      <w:r>
        <w:t xml:space="preserve">Revenue Trajectory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1800"/>
        <w:gridCol w:w="2560"/>
      </w:tblGrid>
      <w:tr>
        <w:trPr>
          <w:tblHeader/>
        </w:trPr>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Timeline</w:t>
            </w:r>
          </w:p>
        </w:tc>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Revenue Sources</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Target Range</w:t>
            </w:r>
          </w:p>
        </w:tc>
        <w:tc>
          <w:tcPr>
            <w:tcW w:type="dxa" w:w="2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Cumulative Investment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Month 1–3 (Sprint 1)</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Consultant cost avoidance on active projects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$15K–$30K saved</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100–150 hours</w:t>
            </w:r>
          </w:p>
        </w:tc>
      </w:tr>
      <w:tr>
        <w:tc>
          <w:tcPr>
            <w:tcW w:type="dxa" w:w="1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Month 4–6 (Sprint 2)</w:t>
            </w:r>
          </w:p>
        </w:tc>
        <w:tc>
          <w:tcPr>
            <w:tcW w:type="dxa" w:w="3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Deal sourcing fees; evaluation consulting</w:t>
            </w:r>
          </w:p>
        </w:tc>
        <w:tc>
          <w:tcPr>
            <w:tcW w:type="dxa" w:w="1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$25K–$75K</w:t>
            </w:r>
          </w:p>
        </w:tc>
        <w:tc>
          <w:tcPr>
            <w:tcW w:type="dxa" w:w="25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250–400 hours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Month 7–9 (Sprint 3)</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Hotel pre-development management; franchise consulting</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$50K–$150K</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450–650 hours</w:t>
            </w:r>
          </w:p>
        </w:tc>
      </w:tr>
      <w:tr>
        <w:tc>
          <w:tcPr>
            <w:tcW w:type="dxa" w:w="1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Month 10–12 (Sprint 4)</w:t>
            </w:r>
          </w:p>
        </w:tc>
        <w:tc>
          <w:tcPr>
            <w:tcW w:type="dxa" w:w="3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Modular consulting; CM proposals; manufacturer margins</w:t>
            </w:r>
          </w:p>
        </w:tc>
        <w:tc>
          <w:tcPr>
            <w:tcW w:type="dxa" w:w="1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$100K–$300K</w:t>
            </w:r>
          </w:p>
        </w:tc>
        <w:tc>
          <w:tcPr>
            <w:tcW w:type="dxa" w:w="25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700–1,000 hours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Month 13–15 (Sprint 5)</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Development fees; platform revenue; equity positions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$250K–$1M+</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1,000+ hours</w:t>
            </w:r>
          </w:p>
        </w:tc>
      </w:tr>
      <w:tr>
        <w:tc>
          <w:tcPr>
            <w:tcW w:type="dxa" w:w="1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Year 2+</w:t>
            </w:r>
          </w:p>
        </w:tc>
        <w:tc>
          <w:tcPr>
            <w:tcW w:type="dxa" w:w="3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Integrated development + modular + technology platform</w:t>
            </w:r>
          </w:p>
        </w:tc>
        <w:tc>
          <w:tcPr>
            <w:tcW w:type="dxa" w:w="1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$1M–5M+</w:t>
            </w:r>
          </w:p>
        </w:tc>
        <w:tc>
          <w:tcPr>
            <w:tcW w:type="dxa" w:w="25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Ongoing</w:t>
            </w:r>
          </w:p>
        </w:tc>
      </w:tr>
    </w:tbl>
    <w:p>
      <w:pPr>
        <w:pStyle w:val="Heading2"/>
      </w:pPr>
      <w:r>
        <w:t xml:space="preserve">Implementation Checklist</w:t>
      </w:r>
    </w:p>
    <w:p>
      <w:pPr>
        <w:spacing w:before="80" w:after="80"/>
      </w:pPr>
      <w:r>
        <w:rPr>
          <w:rFonts w:ascii="Arial" w:cs="Arial" w:eastAsia="Arial" w:hAnsi="Arial"/>
          <w:color w:val="1A1A1A"/>
          <w:sz w:val="22"/>
          <w:szCs w:val="22"/>
        </w:rPr>
        <w:t xml:space="preserve">Start today:</w:t>
      </w:r>
    </w:p>
    <w:p>
      <w:pPr>
        <w:spacing w:before="100"/>
      </w:pPr>
    </w:p>
    <w:p>
      <w:pPr>
        <w:pStyle w:val="ListParagraph"/>
        <w:numPr>
          <w:ilvl w:val="0"/>
          <w:numId w:val="5"/>
        </w:numPr>
      </w:pPr>
      <w:r>
        <w:rPr>
          <w:rFonts w:ascii="Arial" w:cs="Arial" w:eastAsia="Arial" w:hAnsi="Arial"/>
          <w:color w:val="1A1A1A"/>
          <w:sz w:val="22"/>
          <w:szCs w:val="22"/>
        </w:rPr>
        <w:t xml:space="preserve">Download this document and the v2.0 Guidebook to your Cowork library.</w:t>
      </w:r>
    </w:p>
    <w:p>
      <w:pPr>
        <w:pStyle w:val="ListParagraph"/>
        <w:numPr>
          <w:ilvl w:val="0"/>
          <w:numId w:val="6"/>
        </w:numPr>
      </w:pPr>
      <w:r>
        <w:rPr>
          <w:rFonts w:ascii="Arial" w:cs="Arial" w:eastAsia="Arial" w:hAnsi="Arial"/>
          <w:color w:val="1A1A1A"/>
          <w:sz w:val="22"/>
          <w:szCs w:val="22"/>
        </w:rPr>
        <w:t xml:space="preserve">Open the Interactive Tutor Dashboard (React artifact) and bookmark it.</w:t>
      </w:r>
    </w:p>
    <w:p>
      <w:pPr>
        <w:pStyle w:val="ListParagraph"/>
        <w:numPr>
          <w:ilvl w:val="0"/>
          <w:numId w:val="6"/>
        </w:numPr>
      </w:pPr>
      <w:r>
        <w:rPr>
          <w:rFonts w:ascii="Arial" w:cs="Arial" w:eastAsia="Arial" w:hAnsi="Arial"/>
          <w:color w:val="1A1A1A"/>
          <w:sz w:val="22"/>
          <w:szCs w:val="22"/>
        </w:rPr>
        <w:t xml:space="preserve">Pull the zoning codes for 595 Morey Drive and 1378 Longfellow.</w:t>
      </w:r>
    </w:p>
    <w:p>
      <w:pPr>
        <w:pStyle w:val="ListParagraph"/>
        <w:numPr>
          <w:ilvl w:val="0"/>
          <w:numId w:val="6"/>
        </w:numPr>
      </w:pPr>
      <w:r>
        <w:rPr>
          <w:rFonts w:ascii="Arial" w:cs="Arial" w:eastAsia="Arial" w:hAnsi="Arial"/>
          <w:color w:val="1A1A1A"/>
          <w:sz w:val="22"/>
          <w:szCs w:val="22"/>
        </w:rPr>
        <w:t xml:space="preserve">Start Claude AI tutor session 1.1 (zoning code navigation) using your actual project addresses.</w:t>
      </w:r>
    </w:p>
    <w:p>
      <w:pPr>
        <w:pStyle w:val="ListParagraph"/>
        <w:numPr>
          <w:ilvl w:val="0"/>
          <w:numId w:val="6"/>
        </w:numPr>
      </w:pPr>
      <w:r>
        <w:rPr>
          <w:rFonts w:ascii="Arial" w:cs="Arial" w:eastAsia="Arial" w:hAnsi="Arial"/>
          <w:color w:val="1A1A1A"/>
          <w:sz w:val="22"/>
          <w:szCs w:val="22"/>
        </w:rPr>
        <w:t xml:space="preserve">Schedule 10–15 hours per week for the next 12 weeks.</w:t>
      </w:r>
    </w:p>
    <w:p>
      <w:pPr>
        <w:pStyle w:val="ListParagraph"/>
        <w:numPr>
          <w:ilvl w:val="0"/>
          <w:numId w:val="6"/>
        </w:numPr>
      </w:pPr>
      <w:r>
        <w:rPr>
          <w:rFonts w:ascii="Arial" w:cs="Arial" w:eastAsia="Arial" w:hAnsi="Arial"/>
          <w:color w:val="1A1A1A"/>
          <w:sz w:val="22"/>
          <w:szCs w:val="22"/>
        </w:rPr>
        <w:t xml:space="preserve">Set a calendar reminder at Week 4 to file your first SB 330 preliminary application.</w:t>
      </w:r>
    </w:p>
    <w:p>
      <w:pPr>
        <w:pStyle w:val="ListParagraph"/>
        <w:numPr>
          <w:ilvl w:val="0"/>
          <w:numId w:val="6"/>
        </w:numPr>
      </w:pPr>
      <w:r>
        <w:rPr>
          <w:rFonts w:ascii="Arial" w:cs="Arial" w:eastAsia="Arial" w:hAnsi="Arial"/>
          <w:color w:val="1A1A1A"/>
          <w:sz w:val="22"/>
          <w:szCs w:val="22"/>
        </w:rPr>
        <w:t xml:space="preserve">At Week 6, make the SB 9 vs. ADU decision for Longfellow based on your pro forma comparison.</w:t>
      </w:r>
    </w:p>
    <w:p>
      <w:pPr>
        <w:pStyle w:val="ListParagraph"/>
        <w:numPr>
          <w:ilvl w:val="0"/>
          <w:numId w:val="6"/>
        </w:numPr>
      </w:pPr>
      <w:r>
        <w:rPr>
          <w:rFonts w:ascii="Arial" w:cs="Arial" w:eastAsia="Arial" w:hAnsi="Arial"/>
          <w:color w:val="1A1A1A"/>
          <w:sz w:val="22"/>
          <w:szCs w:val="22"/>
        </w:rPr>
        <w:t xml:space="preserve">At Week 12, assess Sprint 1 success metrics and plan Sprint 2 adjustments.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7DD8" w:sz="6"/>
              <w:left w:val="none" w:sz="0"/>
              <w:bottom w:val="none" w:sz="0"/>
              <w:right w:val="none" w:sz="0"/>
            </w:tcBorders>
            <w:shd w:fill="EDF2F7" w:val="clear"/>
            <w:tcMar>
              <w:top w:type="dxa" w:w="120"/>
              <w:left w:type="dxa" w:w="200"/>
              <w:bottom w:type="dxa" w:w="120"/>
              <w:right w:type="dxa" w:w="200"/>
            </w:tcMar>
          </w:tcPr>
          <w:p>
            <w:pPr>
              <w:spacing w:after="40"/>
            </w:pPr>
            <w:r>
              <w:rPr>
                <w:rFonts w:ascii="Arial" w:cs="Arial" w:eastAsia="Arial" w:hAnsi="Arial"/>
                <w:b/>
                <w:bCs/>
                <w:color w:val="3B7DD8"/>
                <w:sz w:val="22"/>
                <w:szCs w:val="22"/>
              </w:rPr>
              <w:t xml:space="preserve">The Clock Is Ticking</w:t>
            </w:r>
          </w:p>
          <w:p>
            <w:r>
              <w:rPr>
                <w:rFonts w:ascii="Arial" w:cs="Arial" w:eastAsia="Arial" w:hAnsi="Arial"/>
                <w:color w:val="2E4057"/>
                <w:sz w:val="20"/>
                <w:szCs w:val="20"/>
              </w:rPr>
              <w:t xml:space="preserve">Every week you delay filing the SB 330 preliminary application is a week of exposure to fee increases and regulatory changes. The single highest-ROI action you can take right now is to prepare and file that application for your next multifamily project. Sprint 1, Week 7 target — but if you can do it sooner, do it sooner.</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tabs>
        <w:tab w:val="right" w:pos="9026"/>
      </w:tabs>
    </w:pPr>
    <w:r>
      <w:rPr>
        <w:rFonts w:ascii="Arial" w:cs="Arial" w:eastAsia="Arial" w:hAnsi="Arial"/>
        <w:color w:val="6B7280"/>
        <w:sz w:val="16"/>
        <w:szCs w:val="16"/>
      </w:rPr>
      <w:t xml:space="preserve">SVDen Development — Confidential</w:t>
    </w:r>
    <w:r>
      <w:rPr>
        <w:rFonts w:ascii="Arial" w:cs="Arial" w:eastAsia="Arial" w:hAnsi="Arial"/>
        <w:color w:val="6B7280"/>
        <w:sz w:val="16"/>
        <w:szCs w:val="16"/>
      </w:rPr>
      <w:t xml:space="preserve">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B7DD8" w:sz="2" w:space="4"/>
      </w:pBdr>
      <w:tabs>
        <w:tab w:val="right" w:pos="9026"/>
      </w:tabs>
      <w:spacing w:after="80"/>
    </w:pPr>
    <w:r>
      <w:rPr>
        <w:rFonts w:ascii="Arial" w:cs="Arial" w:eastAsia="Arial" w:hAnsi="Arial"/>
        <w:i/>
        <w:iCs/>
        <w:color w:val="6B7280"/>
        <w:sz w:val="18"/>
        <w:szCs w:val="18"/>
      </w:rPr>
      <w:t xml:space="preserve">MVP Strategies — Fast-Track Ramp-Up &amp; Risk Management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decimal"/>
      <w:lvlText w:val="%1."/>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decimal"/>
      <w:lvlText w:val="%1."/>
      <w:lvlJc w:val="left"/>
      <w:pPr>
        <w:ind w:left="72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decimal"/>
      <w:lvlText w:val="%1."/>
      <w:lvlJc w:val="left"/>
      <w:pPr>
        <w:ind w:left="72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decimal"/>
      <w:lvlText w:val="%1."/>
      <w:lvlJc w:val="left"/>
      <w:pPr>
        <w:ind w:left="72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abstractNum w:abstractNumId="42" w15:restartNumberingAfterBreak="0">
    <w:multiLevelType w:val="hybridMultilevel"/>
    <w:lvl w:ilvl="0" w15:tentative="1">
      <w:start w:val="1"/>
      <w:numFmt w:val="bullet"/>
      <w:lvlText w:val="•"/>
      <w:lvlJc w:val="left"/>
      <w:pPr>
        <w:ind w:left="720" w:hanging="360"/>
      </w:pPr>
    </w:lvl>
  </w:abstractNum>
  <w:abstractNum w:abstractNumId="43" w15:restartNumberingAfterBreak="0">
    <w:multiLevelType w:val="hybridMultilevel"/>
    <w:lvl w:ilvl="0" w15:tentative="1">
      <w:start w:val="1"/>
      <w:numFmt w:val="bullet"/>
      <w:lvlText w:val="•"/>
      <w:lvlJc w:val="left"/>
      <w:pPr>
        <w:ind w:left="720" w:hanging="360"/>
      </w:pPr>
    </w:lvl>
  </w:abstractNum>
  <w:abstractNum w:abstractNumId="44" w15:restartNumberingAfterBreak="0">
    <w:multiLevelType w:val="hybridMultilevel"/>
    <w:lvl w:ilvl="0" w15:tentative="1">
      <w:start w:val="1"/>
      <w:numFmt w:val="bullet"/>
      <w:lvlText w:val="•"/>
      <w:lvlJc w:val="left"/>
      <w:pPr>
        <w:ind w:left="720" w:hanging="360"/>
      </w:pPr>
    </w:lvl>
  </w:abstractNum>
  <w:abstractNum w:abstractNumId="45" w15:restartNumberingAfterBreak="0">
    <w:multiLevelType w:val="hybridMultilevel"/>
    <w:lvl w:ilvl="0" w15:tentative="1">
      <w:start w:val="1"/>
      <w:numFmt w:val="bullet"/>
      <w:lvlText w:val="•"/>
      <w:lvlJc w:val="left"/>
      <w:pPr>
        <w:ind w:left="720" w:hanging="360"/>
      </w:pPr>
    </w:lvl>
  </w:abstractNum>
  <w:abstractNum w:abstractNumId="46" w15:restartNumberingAfterBreak="0">
    <w:multiLevelType w:val="hybridMultilevel"/>
    <w:lvl w:ilvl="0" w15:tentative="1">
      <w:start w:val="1"/>
      <w:numFmt w:val="bullet"/>
      <w:lvlText w:val="•"/>
      <w:lvlJc w:val="left"/>
      <w:pPr>
        <w:ind w:left="720" w:hanging="360"/>
      </w:pPr>
    </w:lvl>
  </w:abstractNum>
  <w:abstractNum w:abstractNumId="47" w15:restartNumberingAfterBreak="0">
    <w:multiLevelType w:val="hybridMultilevel"/>
    <w:lvl w:ilvl="0" w15:tentative="1">
      <w:start w:val="1"/>
      <w:numFmt w:val="bullet"/>
      <w:lvlText w:val="•"/>
      <w:lvlJc w:val="left"/>
      <w:pPr>
        <w:ind w:left="720" w:hanging="360"/>
      </w:pPr>
    </w:lvl>
  </w:abstractNum>
  <w:abstractNum w:abstractNumId="48" w15:restartNumberingAfterBreak="0">
    <w:multiLevelType w:val="hybridMultilevel"/>
    <w:lvl w:ilvl="0" w15:tentative="1">
      <w:start w:val="1"/>
      <w:numFmt w:val="bullet"/>
      <w:lvlText w:val="•"/>
      <w:lvlJc w:val="left"/>
      <w:pPr>
        <w:ind w:left="720" w:hanging="360"/>
      </w:pPr>
    </w:lvl>
  </w:abstractNum>
  <w:abstractNum w:abstractNumId="49" w15:restartNumberingAfterBreak="0">
    <w:multiLevelType w:val="hybridMultilevel"/>
    <w:lvl w:ilvl="0" w15:tentative="1">
      <w:start w:val="1"/>
      <w:numFmt w:val="bullet"/>
      <w:lvlText w:val="•"/>
      <w:lvlJc w:val="left"/>
      <w:pPr>
        <w:ind w:left="720" w:hanging="360"/>
      </w:pPr>
    </w:lvl>
  </w:abstractNum>
  <w:abstractNum w:abstractNumId="50" w15:restartNumberingAfterBreak="0">
    <w:multiLevelType w:val="hybridMultilevel"/>
    <w:lvl w:ilvl="0" w15:tentative="1">
      <w:start w:val="1"/>
      <w:numFmt w:val="bullet"/>
      <w:lvlText w:val="•"/>
      <w:lvlJc w:val="left"/>
      <w:pPr>
        <w:ind w:left="720" w:hanging="360"/>
      </w:pPr>
    </w:lvl>
  </w:abstractNum>
  <w:abstractNum w:abstractNumId="51" w15:restartNumberingAfterBreak="0">
    <w:multiLevelType w:val="hybridMultilevel"/>
    <w:lvl w:ilvl="0" w15:tentative="1">
      <w:start w:val="1"/>
      <w:numFmt w:val="bullet"/>
      <w:lvlText w:val="•"/>
      <w:lvlJc w:val="left"/>
      <w:pPr>
        <w:ind w:left="720" w:hanging="360"/>
      </w:pPr>
    </w:lvl>
  </w:abstractNum>
  <w:abstractNum w:abstractNumId="52" w15:restartNumberingAfterBreak="0">
    <w:multiLevelType w:val="hybridMultilevel"/>
    <w:lvl w:ilvl="0" w15:tentative="1">
      <w:start w:val="1"/>
      <w:numFmt w:val="bullet"/>
      <w:lvlText w:val="•"/>
      <w:lvlJc w:val="left"/>
      <w:pPr>
        <w:ind w:left="720" w:hanging="360"/>
      </w:pPr>
    </w:lvl>
  </w:abstractNum>
  <w:abstractNum w:abstractNumId="53" w15:restartNumberingAfterBreak="0">
    <w:multiLevelType w:val="hybridMultilevel"/>
    <w:lvl w:ilvl="0" w15:tentative="1">
      <w:start w:val="1"/>
      <w:numFmt w:val="bullet"/>
      <w:lvlText w:val="•"/>
      <w:lvlJc w:val="left"/>
      <w:pPr>
        <w:ind w:left="720" w:hanging="360"/>
      </w:pPr>
    </w:lvl>
  </w:abstractNum>
  <w:abstractNum w:abstractNumId="54" w15:restartNumberingAfterBreak="0">
    <w:multiLevelType w:val="hybridMultilevel"/>
    <w:lvl w:ilvl="0" w15:tentative="1">
      <w:start w:val="1"/>
      <w:numFmt w:val="bullet"/>
      <w:lvlText w:val="•"/>
      <w:lvlJc w:val="left"/>
      <w:pPr>
        <w:ind w:left="720" w:hanging="360"/>
      </w:pPr>
    </w:lvl>
  </w:abstractNum>
  <w:abstractNum w:abstractNumId="55" w15:restartNumberingAfterBreak="0">
    <w:multiLevelType w:val="hybridMultilevel"/>
    <w:lvl w:ilvl="0" w15:tentative="1">
      <w:start w:val="1"/>
      <w:numFmt w:val="bullet"/>
      <w:lvlText w:val="•"/>
      <w:lvlJc w:val="left"/>
      <w:pPr>
        <w:ind w:left="720" w:hanging="360"/>
      </w:pPr>
    </w:lvl>
  </w:abstractNum>
  <w:abstractNum w:abstractNumId="56" w15:restartNumberingAfterBreak="0">
    <w:multiLevelType w:val="hybridMultilevel"/>
    <w:lvl w:ilvl="0" w15:tentative="1">
      <w:start w:val="1"/>
      <w:numFmt w:val="bullet"/>
      <w:lvlText w:val="•"/>
      <w:lvlJc w:val="left"/>
      <w:pPr>
        <w:ind w:left="720" w:hanging="360"/>
      </w:pPr>
    </w:lvl>
  </w:abstractNum>
  <w:abstractNum w:abstractNumId="57" w15:restartNumberingAfterBreak="0">
    <w:multiLevelType w:val="hybridMultilevel"/>
    <w:lvl w:ilvl="0" w15:tentative="1">
      <w:start w:val="1"/>
      <w:numFmt w:val="bullet"/>
      <w:lvlText w:val="•"/>
      <w:lvlJc w:val="left"/>
      <w:pPr>
        <w:ind w:left="720" w:hanging="360"/>
      </w:pPr>
    </w:lvl>
  </w:abstractNum>
  <w:abstractNum w:abstractNumId="58" w15:restartNumberingAfterBreak="0">
    <w:multiLevelType w:val="hybridMultilevel"/>
    <w:lvl w:ilvl="0" w15:tentative="1">
      <w:start w:val="1"/>
      <w:numFmt w:val="bullet"/>
      <w:lvlText w:val="•"/>
      <w:lvlJc w:val="left"/>
      <w:pPr>
        <w:ind w:left="720" w:hanging="360"/>
      </w:pPr>
    </w:lvl>
  </w:abstractNum>
  <w:abstractNum w:abstractNumId="59" w15:restartNumberingAfterBreak="0">
    <w:multiLevelType w:val="hybridMultilevel"/>
    <w:lvl w:ilvl="0" w15:tentative="1">
      <w:start w:val="1"/>
      <w:numFmt w:val="bullet"/>
      <w:lvlText w:val="•"/>
      <w:lvlJc w:val="left"/>
      <w:pPr>
        <w:ind w:left="720" w:hanging="360"/>
      </w:pPr>
    </w:lvl>
  </w:abstractNum>
  <w:abstractNum w:abstractNumId="60" w15:restartNumberingAfterBreak="0">
    <w:multiLevelType w:val="hybridMultilevel"/>
    <w:lvl w:ilvl="0" w15:tentative="1">
      <w:start w:val="1"/>
      <w:numFmt w:val="bullet"/>
      <w:lvlText w:val="•"/>
      <w:lvlJc w:val="left"/>
      <w:pPr>
        <w:ind w:left="720" w:hanging="360"/>
      </w:pPr>
    </w:lvl>
  </w:abstractNum>
  <w:abstractNum w:abstractNumId="61" w15:restartNumberingAfterBreak="0">
    <w:multiLevelType w:val="hybridMultilevel"/>
    <w:lvl w:ilvl="0" w15:tentative="1">
      <w:start w:val="1"/>
      <w:numFmt w:val="bullet"/>
      <w:lvlText w:val="•"/>
      <w:lvlJc w:val="left"/>
      <w:pPr>
        <w:ind w:left="720" w:hanging="360"/>
      </w:pPr>
    </w:lvl>
  </w:abstractNum>
  <w:abstractNum w:abstractNumId="62" w15:restartNumberingAfterBreak="0">
    <w:multiLevelType w:val="hybridMultilevel"/>
    <w:lvl w:ilvl="0" w15:tentative="1">
      <w:start w:val="1"/>
      <w:numFmt w:val="bullet"/>
      <w:lvlText w:val="•"/>
      <w:lvlJc w:val="left"/>
      <w:pPr>
        <w:ind w:left="720" w:hanging="360"/>
      </w:pPr>
    </w:lvl>
  </w:abstractNum>
  <w:abstractNum w:abstractNumId="63" w15:restartNumberingAfterBreak="0">
    <w:multiLevelType w:val="hybridMultilevel"/>
    <w:lvl w:ilvl="0" w15:tentative="1">
      <w:start w:val="1"/>
      <w:numFmt w:val="bullet"/>
      <w:lvlText w:val="•"/>
      <w:lvlJc w:val="left"/>
      <w:pPr>
        <w:ind w:left="720" w:hanging="360"/>
      </w:pPr>
    </w:lvl>
  </w:abstractNum>
  <w:abstractNum w:abstractNumId="64" w15:restartNumberingAfterBreak="0">
    <w:multiLevelType w:val="hybridMultilevel"/>
    <w:lvl w:ilvl="0" w15:tentative="1">
      <w:start w:val="1"/>
      <w:numFmt w:val="bullet"/>
      <w:lvlText w:val="•"/>
      <w:lvlJc w:val="left"/>
      <w:pPr>
        <w:ind w:left="720" w:hanging="360"/>
      </w:pPr>
    </w:lvl>
  </w:abstractNum>
  <w:abstractNum w:abstractNumId="65" w15:restartNumberingAfterBreak="0">
    <w:multiLevelType w:val="hybridMultilevel"/>
    <w:lvl w:ilvl="0" w15:tentative="1">
      <w:start w:val="1"/>
      <w:numFmt w:val="bullet"/>
      <w:lvlText w:val="•"/>
      <w:lvlJc w:val="left"/>
      <w:pPr>
        <w:ind w:left="720" w:hanging="360"/>
      </w:pPr>
    </w:lvl>
  </w:abstractNum>
  <w:abstractNum w:abstractNumId="66" w15:restartNumberingAfterBreak="0">
    <w:multiLevelType w:val="hybridMultilevel"/>
    <w:lvl w:ilvl="0" w15:tentative="1">
      <w:start w:val="1"/>
      <w:numFmt w:val="bullet"/>
      <w:lvlText w:val="•"/>
      <w:lvlJc w:val="left"/>
      <w:pPr>
        <w:ind w:left="720" w:hanging="360"/>
      </w:pPr>
    </w:lvl>
  </w:abstractNum>
  <w:abstractNum w:abstractNumId="67" w15:restartNumberingAfterBreak="0">
    <w:multiLevelType w:val="hybridMultilevel"/>
    <w:lvl w:ilvl="0" w15:tentative="1">
      <w:start w:val="1"/>
      <w:numFmt w:val="bullet"/>
      <w:lvlText w:val="•"/>
      <w:lvlJc w:val="left"/>
      <w:pPr>
        <w:ind w:left="720" w:hanging="360"/>
      </w:pPr>
    </w:lvl>
  </w:abstractNum>
  <w:abstractNum w:abstractNumId="68" w15:restartNumberingAfterBreak="0">
    <w:multiLevelType w:val="hybridMultilevel"/>
    <w:lvl w:ilvl="0" w15:tentative="1">
      <w:start w:val="1"/>
      <w:numFmt w:val="bullet"/>
      <w:lvlText w:val="•"/>
      <w:lvlJc w:val="left"/>
      <w:pPr>
        <w:ind w:left="720" w:hanging="360"/>
      </w:pPr>
    </w:lvl>
  </w:abstractNum>
  <w:abstractNum w:abstractNumId="69" w15:restartNumberingAfterBreak="0">
    <w:multiLevelType w:val="hybridMultilevel"/>
    <w:lvl w:ilvl="0" w15:tentative="1">
      <w:start w:val="1"/>
      <w:numFmt w:val="bullet"/>
      <w:lvlText w:val="•"/>
      <w:lvlJc w:val="left"/>
      <w:pPr>
        <w:ind w:left="720" w:hanging="360"/>
      </w:pPr>
    </w:lvl>
  </w:abstractNum>
  <w:abstractNum w:abstractNumId="70" w15:restartNumberingAfterBreak="0">
    <w:multiLevelType w:val="hybridMultilevel"/>
    <w:lvl w:ilvl="0" w15:tentative="1">
      <w:start w:val="1"/>
      <w:numFmt w:val="bullet"/>
      <w:lvlText w:val="•"/>
      <w:lvlJc w:val="left"/>
      <w:pPr>
        <w:ind w:left="720" w:hanging="360"/>
      </w:pPr>
    </w:lvl>
  </w:abstractNum>
  <w:abstractNum w:abstractNumId="71" w15:restartNumberingAfterBreak="0">
    <w:multiLevelType w:val="hybridMultilevel"/>
    <w:lvl w:ilvl="0" w15:tentative="1">
      <w:start w:val="1"/>
      <w:numFmt w:val="bullet"/>
      <w:lvlText w:val="•"/>
      <w:lvlJc w:val="left"/>
      <w:pPr>
        <w:ind w:left="720" w:hanging="360"/>
      </w:pPr>
    </w:lvl>
  </w:abstractNum>
  <w:abstractNum w:abstractNumId="72" w15:restartNumberingAfterBreak="0">
    <w:multiLevelType w:val="hybridMultilevel"/>
    <w:lvl w:ilvl="0" w15:tentative="1">
      <w:start w:val="1"/>
      <w:numFmt w:val="bullet"/>
      <w:lvlText w:val="•"/>
      <w:lvlJc w:val="left"/>
      <w:pPr>
        <w:ind w:left="720" w:hanging="360"/>
      </w:pPr>
    </w:lvl>
  </w:abstractNum>
  <w:abstractNum w:abstractNumId="73" w15:restartNumberingAfterBreak="0">
    <w:multiLevelType w:val="hybridMultilevel"/>
    <w:lvl w:ilvl="0" w15:tentative="1">
      <w:start w:val="1"/>
      <w:numFmt w:val="bullet"/>
      <w:lvlText w:val="•"/>
      <w:lvlJc w:val="left"/>
      <w:pPr>
        <w:ind w:left="720" w:hanging="360"/>
      </w:pPr>
    </w:lvl>
  </w:abstractNum>
  <w:abstractNum w:abstractNumId="74" w15:restartNumberingAfterBreak="0">
    <w:multiLevelType w:val="hybridMultilevel"/>
    <w:lvl w:ilvl="0" w15:tentative="1">
      <w:start w:val="1"/>
      <w:numFmt w:val="bullet"/>
      <w:lvlText w:val="•"/>
      <w:lvlJc w:val="left"/>
      <w:pPr>
        <w:ind w:left="720" w:hanging="360"/>
      </w:pPr>
    </w:lvl>
  </w:abstractNum>
  <w:abstractNum w:abstractNumId="75" w15:restartNumberingAfterBreak="0">
    <w:multiLevelType w:val="hybridMultilevel"/>
    <w:lvl w:ilvl="0" w15:tentative="1">
      <w:start w:val="1"/>
      <w:numFmt w:val="bullet"/>
      <w:lvlText w:val="•"/>
      <w:lvlJc w:val="left"/>
      <w:pPr>
        <w:ind w:left="720" w:hanging="360"/>
      </w:pPr>
    </w:lvl>
  </w:abstractNum>
  <w:abstractNum w:abstractNumId="76" w15:restartNumberingAfterBreak="0">
    <w:multiLevelType w:val="hybridMultilevel"/>
    <w:lvl w:ilvl="0" w15:tentative="1">
      <w:start w:val="1"/>
      <w:numFmt w:val="bullet"/>
      <w:lvlText w:val="•"/>
      <w:lvlJc w:val="left"/>
      <w:pPr>
        <w:ind w:left="720" w:hanging="360"/>
      </w:pPr>
    </w:lvl>
  </w:abstractNum>
  <w:abstractNum w:abstractNumId="77" w15:restartNumberingAfterBreak="0">
    <w:multiLevelType w:val="hybridMultilevel"/>
    <w:lvl w:ilvl="0" w15:tentative="1">
      <w:start w:val="1"/>
      <w:numFmt w:val="bullet"/>
      <w:lvlText w:val="•"/>
      <w:lvlJc w:val="left"/>
      <w:pPr>
        <w:ind w:left="720" w:hanging="360"/>
      </w:pPr>
    </w:lvl>
  </w:abstractNum>
  <w:abstractNum w:abstractNumId="78" w15:restartNumberingAfterBreak="0">
    <w:multiLevelType w:val="hybridMultilevel"/>
    <w:lvl w:ilvl="0" w15:tentative="1">
      <w:start w:val="1"/>
      <w:numFmt w:val="bullet"/>
      <w:lvlText w:val="•"/>
      <w:lvlJc w:val="left"/>
      <w:pPr>
        <w:ind w:left="720" w:hanging="360"/>
      </w:pPr>
    </w:lvl>
  </w:abstractNum>
  <w:abstractNum w:abstractNumId="79" w15:restartNumberingAfterBreak="0">
    <w:multiLevelType w:val="hybridMultilevel"/>
    <w:lvl w:ilvl="0" w15:tentative="1">
      <w:start w:val="1"/>
      <w:numFmt w:val="bullet"/>
      <w:lvlText w:val="•"/>
      <w:lvlJc w:val="left"/>
      <w:pPr>
        <w:ind w:left="720" w:hanging="360"/>
      </w:pPr>
    </w:lvl>
  </w:abstractNum>
  <w:abstractNum w:abstractNumId="80" w15:restartNumberingAfterBreak="0">
    <w:multiLevelType w:val="hybridMultilevel"/>
    <w:lvl w:ilvl="0" w15:tentative="1">
      <w:start w:val="1"/>
      <w:numFmt w:val="bullet"/>
      <w:lvlText w:val="•"/>
      <w:lvlJc w:val="left"/>
      <w:pPr>
        <w:ind w:left="720" w:hanging="360"/>
      </w:pPr>
    </w:lvl>
  </w:abstractNum>
  <w:abstractNum w:abstractNumId="8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42"/>
    <w:lvlOverride w:ilvl="0">
      <w:startOverride w:val="1"/>
    </w:lvlOverride>
  </w:num>
  <w:num w:numId="3">
    <w:abstractNumId w:val="43"/>
    <w:lvlOverride w:ilvl="0">
      <w:startOverride w:val="1"/>
    </w:lvlOverride>
  </w:num>
  <w:num w:numId="4">
    <w:abstractNumId w:val="2"/>
    <w:lvlOverride w:ilvl="0">
      <w:startOverride w:val="1"/>
    </w:lvlOverride>
  </w:num>
  <w:num w:numId="5">
    <w:abstractNumId w:val="3"/>
    <w:lvlOverride w:ilvl="0">
      <w:startOverride w:val="1"/>
    </w:lvlOverride>
  </w:num>
  <w:num w:numId="6">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Georgia" w:cs="Georgia" w:eastAsia="Georgia" w:hAnsi="Georgia"/>
      <w:b/>
      <w:bCs/>
      <w:color w:val="1B2A4A"/>
      <w:sz w:val="36"/>
      <w:szCs w:val="36"/>
    </w:rPr>
  </w:style>
  <w:style w:type="paragraph" w:styleId="Heading2">
    <w:name w:val="Heading 2"/>
    <w:basedOn w:val="Normal"/>
    <w:next w:val="Normal"/>
    <w:qFormat/>
    <w:pPr>
      <w:spacing w:before="280" w:after="160"/>
      <w:outlineLvl w:val="1"/>
    </w:pPr>
    <w:rPr>
      <w:rFonts w:ascii="Georgia" w:cs="Georgia" w:eastAsia="Georgia" w:hAnsi="Georgia"/>
      <w:b/>
      <w:bCs/>
      <w:color w:val="2E4057"/>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3B7DD8"/>
      <w:sz w:val="26"/>
      <w:szCs w:val="26"/>
    </w:rPr>
  </w:style>
  <w:style w:type="paragraph" w:styleId="Heading4">
    <w:name w:val="Heading 4"/>
    <w:basedOn w:val="Normal"/>
    <w:next w:val="Normal"/>
    <w:qFormat/>
    <w:pPr>
      <w:spacing w:before="160" w:after="100"/>
      <w:outlineLvl w:val="3"/>
    </w:pPr>
    <w:rPr>
      <w:rFonts w:ascii="Arial" w:cs="Arial" w:eastAsia="Arial" w:hAnsi="Arial"/>
      <w:b/>
      <w:bCs/>
      <w:color w:val="2E4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2026-02-14T22:26:30.982Z</dcterms:created>
  <dcterms:modified xsi:type="dcterms:W3CDTF">2026-02-14T22:26:30.983Z</dcterms:modified>
</cp:coreProperties>
</file>

<file path=docProps/custom.xml><?xml version="1.0" encoding="utf-8"?>
<Properties xmlns="http://schemas.openxmlformats.org/officeDocument/2006/custom-properties" xmlns:vt="http://schemas.openxmlformats.org/officeDocument/2006/docPropsVTypes"/>
</file>