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365D"/>
          <w:sz w:val="36"/>
          <w:szCs w:val="36"/>
        </w:rPr>
        <w:t xml:space="preserve">CALIFORNIA HOUSING &amp; DEVELOPMENT</w:t>
      </w:r>
    </w:p>
    <w:p>
      <w:pPr>
        <w:spacing w:after="100"/>
        <w:jc w:val="center"/>
      </w:pPr>
      <w:r>
        <w:rPr>
          <w:rFonts w:ascii="Arial" w:cs="Arial" w:eastAsia="Arial" w:hAnsi="Arial"/>
          <w:b/>
          <w:bCs/>
          <w:color w:val="2E75B6"/>
          <w:sz w:val="32"/>
          <w:szCs w:val="32"/>
        </w:rPr>
        <w:t xml:space="preserve">LAW &amp; CODE REFERENCE</w:t>
      </w:r>
    </w:p>
    <w:p>
      <w:pPr>
        <w:spacing w:after="400"/>
        <w:jc w:val="center"/>
      </w:pPr>
      <w:r>
        <w:rPr>
          <w:rFonts w:ascii="Arial" w:cs="Arial" w:eastAsia="Arial" w:hAnsi="Arial"/>
          <w:i/>
          <w:iCs/>
          <w:color w:val="404040"/>
          <w:sz w:val="24"/>
          <w:szCs w:val="24"/>
        </w:rPr>
        <w:t xml:space="preserve">Beyond SB 330, SB 35, and SB 9</w:t>
      </w:r>
    </w:p>
    <w:p>
      <w:pPr>
        <w:spacing w:after="100"/>
        <w:jc w:val="center"/>
      </w:pPr>
      <w:r>
        <w:rPr>
          <w:rFonts w:ascii="Arial" w:cs="Arial" w:eastAsia="Arial" w:hAnsi="Arial"/>
          <w:color w:val="404040"/>
          <w:sz w:val="20"/>
          <w:szCs w:val="20"/>
        </w:rPr>
        <w:t xml:space="preserve">SVDen Development  |  CA Land Use &amp; Development Learning System</w:t>
      </w:r>
    </w:p>
    <w:p>
      <w:pPr>
        <w:spacing w:after="100"/>
        <w:jc w:val="center"/>
      </w:pPr>
      <w:r>
        <w:rPr>
          <w:rFonts w:ascii="Arial" w:cs="Arial" w:eastAsia="Arial" w:hAnsi="Arial"/>
          <w:color w:val="404040"/>
          <w:sz w:val="20"/>
          <w:szCs w:val="20"/>
        </w:rPr>
        <w:t xml:space="preserve">February 2026</w:t>
      </w:r>
    </w:p>
    <w:p>
      <w:pPr>
        <w:spacing w:after="600"/>
        <w:jc w:val="center"/>
      </w:pPr>
      <w:r>
        <w:rPr>
          <w:rFonts w:ascii="Arial" w:cs="Arial" w:eastAsia="Arial" w:hAnsi="Arial"/>
          <w:color w:val="777777"/>
          <w:sz w:val="18"/>
          <w:szCs w:val="18"/>
        </w:rPr>
        <w:t xml:space="preserve">Supplement to Chapters 1 (Legal Foundation), 4 (Entitlements), 8 (ADU), 10 (Modular/CFS), 15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6"/>
              <w:bottom w:val="single" w:color="1B365D" w:sz="1"/>
              <w:right w:val="single" w:color="1B365D"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Purpose of This Document</w:t>
            </w:r>
          </w:p>
          <w:p>
            <w:pPr>
              <w:spacing w:after="60"/>
            </w:pPr>
            <w:r>
              <w:rPr>
                <w:rFonts w:ascii="Arial" w:cs="Arial" w:eastAsia="Arial" w:hAnsi="Arial"/>
                <w:color w:val="404040"/>
                <w:sz w:val="20"/>
                <w:szCs w:val="20"/>
              </w:rPr>
              <w:t xml:space="preserve">This reference covers the critical California laws and building codes beyond the “big three” (SB 330, SB 35, SB 9) that affect every residential development project. Each entry includes the statutory citation, effective dates, key provisions, and specific SVDen strategic implications.</w:t>
            </w:r>
          </w:p>
          <w:p>
            <w:pPr>
              <w:spacing w:after="60"/>
            </w:pPr>
            <w:r>
              <w:rPr>
                <w:rFonts w:ascii="Arial" w:cs="Arial" w:eastAsia="Arial" w:hAnsi="Arial"/>
                <w:color w:val="404040"/>
                <w:sz w:val="20"/>
                <w:szCs w:val="20"/>
              </w:rPr>
              <w:t xml:space="preserve">Laws are organized by function: Housing Supply &amp; Density, Foundational Legal Framework, ADU &amp; Small Unit, Building Code &amp; Wildfire, and Financial/Fee laws. Cross-reference with the Pro Forma Financial Decision Framework for fee modeling and the Pre-Design Site Constraint Analysis for regulatory checkpoint integration.</w:t>
            </w:r>
          </w:p>
        </w:tc>
      </w:tr>
    </w:tbl>
    <w:p>
      <w:pPr>
        <w:spacing w:after="60"/>
      </w:pPr>
    </w:p>
    <w:p>
      <w:r>
        <w:br w:type="page"/>
      </w:r>
    </w:p>
    <w:p>
      <w:pPr>
        <w:pStyle w:val="Heading1"/>
      </w:pPr>
      <w:r>
        <w:t xml:space="preserve">Contents</w:t>
      </w:r>
    </w:p>
    <w:p>
      <w:pPr>
        <w:spacing w:after="60"/>
      </w:pPr>
    </w:p>
    <w:p>
      <w:pPr>
        <w:spacing w:after="40"/>
      </w:pPr>
      <w:r>
        <w:rPr>
          <w:rFonts w:ascii="Arial" w:cs="Arial" w:eastAsia="Arial" w:hAnsi="Arial"/>
          <w:b/>
          <w:bCs/>
          <w:color w:val="1B365D"/>
          <w:sz w:val="22"/>
          <w:szCs w:val="22"/>
        </w:rPr>
        <w:t xml:space="preserve">Housing Supply &amp; Density Laws</w:t>
      </w:r>
    </w:p>
    <w:p>
      <w:pPr>
        <w:spacing w:after="30"/>
        <w:ind w:left="360"/>
      </w:pPr>
      <w:r>
        <w:rPr>
          <w:rFonts w:ascii="Arial" w:cs="Arial" w:eastAsia="Arial" w:hAnsi="Arial"/>
          <w:color w:val="404040"/>
          <w:sz w:val="20"/>
          <w:szCs w:val="20"/>
        </w:rPr>
        <w:t xml:space="preserve">SB 423: Permanent SB 35 Streamlining</w:t>
      </w:r>
    </w:p>
    <w:p>
      <w:pPr>
        <w:spacing w:after="30"/>
        <w:ind w:left="360"/>
      </w:pPr>
      <w:r>
        <w:rPr>
          <w:rFonts w:ascii="Arial" w:cs="Arial" w:eastAsia="Arial" w:hAnsi="Arial"/>
          <w:color w:val="404040"/>
          <w:sz w:val="20"/>
          <w:szCs w:val="20"/>
        </w:rPr>
        <w:t xml:space="preserve">AB 2011: Affordable Housing and High Road Jobs Act</w:t>
      </w:r>
    </w:p>
    <w:p>
      <w:pPr>
        <w:spacing w:after="30"/>
        <w:ind w:left="360"/>
      </w:pPr>
      <w:r>
        <w:rPr>
          <w:rFonts w:ascii="Arial" w:cs="Arial" w:eastAsia="Arial" w:hAnsi="Arial"/>
          <w:color w:val="404040"/>
          <w:sz w:val="20"/>
          <w:szCs w:val="20"/>
        </w:rPr>
        <w:t xml:space="preserve">AB 1033: ADU Condominium Sales</w:t>
      </w:r>
    </w:p>
    <w:p>
      <w:pPr>
        <w:spacing w:after="30"/>
        <w:ind w:left="360"/>
      </w:pPr>
      <w:r>
        <w:rPr>
          <w:rFonts w:ascii="Arial" w:cs="Arial" w:eastAsia="Arial" w:hAnsi="Arial"/>
          <w:color w:val="404040"/>
          <w:sz w:val="20"/>
          <w:szCs w:val="20"/>
        </w:rPr>
        <w:t xml:space="preserve">SB 684 / SB 1123: Small Lot Subdivision Streamlining</w:t>
      </w:r>
    </w:p>
    <w:p>
      <w:pPr>
        <w:spacing w:after="30"/>
        <w:ind w:left="360"/>
      </w:pPr>
      <w:r>
        <w:rPr>
          <w:rFonts w:ascii="Arial" w:cs="Arial" w:eastAsia="Arial" w:hAnsi="Arial"/>
          <w:color w:val="404040"/>
          <w:sz w:val="20"/>
          <w:szCs w:val="20"/>
        </w:rPr>
        <w:t xml:space="preserve">SB 4: Affordable Housing on Faith &amp; Higher Education Lands</w:t>
      </w:r>
    </w:p>
    <w:p>
      <w:pPr>
        <w:spacing w:after="60"/>
      </w:pPr>
    </w:p>
    <w:p>
      <w:pPr>
        <w:spacing w:after="40"/>
      </w:pPr>
      <w:r>
        <w:rPr>
          <w:rFonts w:ascii="Arial" w:cs="Arial" w:eastAsia="Arial" w:hAnsi="Arial"/>
          <w:b/>
          <w:bCs/>
          <w:color w:val="1B365D"/>
          <w:sz w:val="22"/>
          <w:szCs w:val="22"/>
        </w:rPr>
        <w:t xml:space="preserve">Foundational Legal Framework</w:t>
      </w:r>
    </w:p>
    <w:p>
      <w:pPr>
        <w:spacing w:after="30"/>
        <w:ind w:left="360"/>
      </w:pPr>
      <w:r>
        <w:rPr>
          <w:rFonts w:ascii="Arial" w:cs="Arial" w:eastAsia="Arial" w:hAnsi="Arial"/>
          <w:color w:val="404040"/>
          <w:sz w:val="20"/>
          <w:szCs w:val="20"/>
        </w:rPr>
        <w:t xml:space="preserve">HAA: Housing Accountability Act</w:t>
      </w:r>
    </w:p>
    <w:p>
      <w:pPr>
        <w:spacing w:after="30"/>
        <w:ind w:left="360"/>
      </w:pPr>
      <w:r>
        <w:rPr>
          <w:rFonts w:ascii="Arial" w:cs="Arial" w:eastAsia="Arial" w:hAnsi="Arial"/>
          <w:color w:val="404040"/>
          <w:sz w:val="20"/>
          <w:szCs w:val="20"/>
        </w:rPr>
        <w:t xml:space="preserve">PSA: Permit Streamlining Act</w:t>
      </w:r>
    </w:p>
    <w:p>
      <w:pPr>
        <w:spacing w:after="60"/>
      </w:pPr>
    </w:p>
    <w:p>
      <w:pPr>
        <w:spacing w:after="40"/>
      </w:pPr>
      <w:r>
        <w:rPr>
          <w:rFonts w:ascii="Arial" w:cs="Arial" w:eastAsia="Arial" w:hAnsi="Arial"/>
          <w:b/>
          <w:bCs/>
          <w:color w:val="1B365D"/>
          <w:sz w:val="22"/>
          <w:szCs w:val="22"/>
        </w:rPr>
        <w:t xml:space="preserve">ADU &amp; Small Unit Laws</w:t>
      </w:r>
    </w:p>
    <w:p>
      <w:pPr>
        <w:spacing w:after="30"/>
        <w:ind w:left="360"/>
      </w:pPr>
      <w:r>
        <w:rPr>
          <w:rFonts w:ascii="Arial" w:cs="Arial" w:eastAsia="Arial" w:hAnsi="Arial"/>
          <w:color w:val="404040"/>
          <w:sz w:val="20"/>
          <w:szCs w:val="20"/>
        </w:rPr>
        <w:t xml:space="preserve">AB 68/SB 13/AB 881: 2020 ADU Reform Package</w:t>
      </w:r>
    </w:p>
    <w:p>
      <w:pPr>
        <w:spacing w:after="60"/>
      </w:pPr>
    </w:p>
    <w:p>
      <w:pPr>
        <w:spacing w:after="40"/>
      </w:pPr>
      <w:r>
        <w:rPr>
          <w:rFonts w:ascii="Arial" w:cs="Arial" w:eastAsia="Arial" w:hAnsi="Arial"/>
          <w:b/>
          <w:bCs/>
          <w:color w:val="1B365D"/>
          <w:sz w:val="22"/>
          <w:szCs w:val="22"/>
        </w:rPr>
        <w:t xml:space="preserve">Building Code &amp; Wildfire</w:t>
      </w:r>
    </w:p>
    <w:p>
      <w:pPr>
        <w:spacing w:after="30"/>
        <w:ind w:left="360"/>
      </w:pPr>
      <w:r>
        <w:rPr>
          <w:rFonts w:ascii="Arial" w:cs="Arial" w:eastAsia="Arial" w:hAnsi="Arial"/>
          <w:color w:val="404040"/>
          <w:sz w:val="20"/>
          <w:szCs w:val="20"/>
        </w:rPr>
        <w:t xml:space="preserve">2025 Title 24: Building Energy Efficiency Standards (Energy Code)</w:t>
      </w:r>
    </w:p>
    <w:p>
      <w:pPr>
        <w:spacing w:after="30"/>
        <w:ind w:left="360"/>
      </w:pPr>
      <w:r>
        <w:rPr>
          <w:rFonts w:ascii="Arial" w:cs="Arial" w:eastAsia="Arial" w:hAnsi="Arial"/>
          <w:color w:val="404040"/>
          <w:sz w:val="20"/>
          <w:szCs w:val="20"/>
        </w:rPr>
        <w:t xml:space="preserve">Chapter 7A CBC: WUI Fire-Hardening Building Code</w:t>
      </w:r>
    </w:p>
    <w:p>
      <w:pPr>
        <w:spacing w:after="60"/>
      </w:pPr>
    </w:p>
    <w:p>
      <w:pPr>
        <w:spacing w:after="40"/>
      </w:pPr>
      <w:r>
        <w:rPr>
          <w:rFonts w:ascii="Arial" w:cs="Arial" w:eastAsia="Arial" w:hAnsi="Arial"/>
          <w:b/>
          <w:bCs/>
          <w:color w:val="1B365D"/>
          <w:sz w:val="22"/>
          <w:szCs w:val="22"/>
        </w:rPr>
        <w:t xml:space="preserve">Financial &amp; Fee Laws</w:t>
      </w:r>
    </w:p>
    <w:p>
      <w:pPr>
        <w:spacing w:after="30"/>
        <w:ind w:left="360"/>
      </w:pPr>
      <w:r>
        <w:rPr>
          <w:rFonts w:ascii="Arial" w:cs="Arial" w:eastAsia="Arial" w:hAnsi="Arial"/>
          <w:color w:val="404040"/>
          <w:sz w:val="20"/>
          <w:szCs w:val="20"/>
        </w:rPr>
        <w:t xml:space="preserve">AB 602 / AB 1483: Impact Fee Transparency &amp; Nexus Requirements</w:t>
      </w:r>
    </w:p>
    <w:p>
      <w:pPr>
        <w:spacing w:after="60"/>
      </w:pPr>
    </w:p>
    <w:p>
      <w:r>
        <w:br w:type="page"/>
      </w:r>
    </w:p>
    <w:p>
      <w:pPr>
        <w:pStyle w:val="Heading1"/>
      </w:pPr>
      <w:r>
        <w:t xml:space="preserve">Housing Supply &amp; Density Laws</w:t>
      </w:r>
    </w:p>
    <w:p>
      <w:pPr>
        <w:spacing w:after="60"/>
      </w:pPr>
    </w:p>
    <w:p>
      <w:pPr>
        <w:pStyle w:val="Heading2"/>
      </w:pPr>
      <w:r>
        <w:t xml:space="preserve">SB 423: Permanent SB 35 Streamlining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§65913.4 (as amended)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2024 (coastal zone provisions: January 1, 2025)</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2036</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Supply — Ministerial Streamlining</w:t>
            </w:r>
          </w:p>
        </w:tc>
      </w:tr>
    </w:tbl>
    <w:p>
      <w:pPr>
        <w:spacing w:after="60"/>
      </w:pPr>
    </w:p>
    <w:p>
      <w:pPr>
        <w:spacing w:after="120"/>
      </w:pPr>
      <w:r>
        <w:rPr>
          <w:rFonts w:ascii="Arial" w:cs="Arial" w:eastAsia="Arial" w:hAnsi="Arial"/>
          <w:sz w:val="21"/>
          <w:szCs w:val="21"/>
        </w:rPr>
        <w:t xml:space="preserve">SB 423 extends and substantially strengthens the SB 35 ministerial approval process through 2036. In jurisdictions not meeting their RHNA housing production targets, qualifying multifamily projects receive streamlined ministerial approval—bypassing discretionary review, public hearings, and CEQA entirely.</w:t>
      </w:r>
    </w:p>
    <w:p>
      <w:pPr>
        <w:spacing w:after="120"/>
      </w:pPr>
      <w:r>
        <w:rPr>
          <w:rFonts w:ascii="Arial" w:cs="Arial" w:eastAsia="Arial" w:hAnsi="Arial"/>
          <w:sz w:val="21"/>
          <w:szCs w:val="21"/>
        </w:rPr>
        <w:t xml:space="preserve">The bill shifts review authority to the planning director (not city council or board of supervisors), expands eligibility to mixed-income and market-rate housing, and now applies within coastal zones as of January 1, 2025. San Francisco became the first city subject to SB 423 in June 2024, where SB 35 had already reduced permitting times from 18–24 months to 3–6 months.</w:t>
      </w:r>
    </w:p>
    <w:p>
      <w:pPr>
        <w:spacing w:after="120"/>
      </w:pPr>
      <w:r>
        <w:rPr>
          <w:rFonts w:ascii="Arial" w:cs="Arial" w:eastAsia="Arial" w:hAnsi="Arial"/>
          <w:sz w:val="21"/>
          <w:szCs w:val="21"/>
        </w:rPr>
        <w:t xml:space="preserve">SB 423 has produced over 40,000 approved homes statewide since 2018 through the SB 35 framework. The law requires prevailing wages for construction workers.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2"/>
        </w:numPr>
        <w:spacing w:after="60"/>
      </w:pPr>
      <w:r>
        <w:rPr>
          <w:rFonts w:ascii="Arial" w:cs="Arial" w:eastAsia="Arial" w:hAnsi="Arial"/>
          <w:sz w:val="20"/>
          <w:szCs w:val="20"/>
        </w:rPr>
        <w:t xml:space="preserve">Ministerial approval for multifamily projects in jurisdictions behind on RHNA targets—no discretionary review, no public hearing, no CEQA</w:t>
      </w:r>
    </w:p>
    <w:p>
      <w:pPr>
        <w:pStyle w:val="ListParagraph"/>
        <w:numPr>
          <w:ilvl w:val="0"/>
          <w:numId w:val="2"/>
        </w:numPr>
        <w:spacing w:after="60"/>
      </w:pPr>
      <w:r>
        <w:rPr>
          <w:rFonts w:ascii="Arial" w:cs="Arial" w:eastAsia="Arial" w:hAnsi="Arial"/>
          <w:sz w:val="20"/>
          <w:szCs w:val="20"/>
        </w:rPr>
        <w:t xml:space="preserve">Planning director makes consistency determination (not city council/BOS), with 60-day timeline for &lt;150 units, 90-day for &gt;150 units</w:t>
      </w:r>
    </w:p>
    <w:p>
      <w:pPr>
        <w:pStyle w:val="ListParagraph"/>
        <w:numPr>
          <w:ilvl w:val="0"/>
          <w:numId w:val="2"/>
        </w:numPr>
        <w:spacing w:after="60"/>
      </w:pPr>
      <w:r>
        <w:rPr>
          <w:rFonts w:ascii="Arial" w:cs="Arial" w:eastAsia="Arial" w:hAnsi="Arial"/>
          <w:sz w:val="20"/>
          <w:szCs w:val="20"/>
        </w:rPr>
        <w:t xml:space="preserve">Expanded to mixed-income and market-rate projects (SB 35 was primarily affordable housing)</w:t>
      </w:r>
    </w:p>
    <w:p>
      <w:pPr>
        <w:pStyle w:val="ListParagraph"/>
        <w:numPr>
          <w:ilvl w:val="0"/>
          <w:numId w:val="2"/>
        </w:numPr>
        <w:spacing w:after="60"/>
      </w:pPr>
      <w:r>
        <w:rPr>
          <w:rFonts w:ascii="Arial" w:cs="Arial" w:eastAsia="Arial" w:hAnsi="Arial"/>
          <w:sz w:val="20"/>
          <w:szCs w:val="20"/>
        </w:rPr>
        <w:t xml:space="preserve">Coastal zone eligibility added January 1, 2025 for sites with certified LUP or LCP</w:t>
      </w:r>
    </w:p>
    <w:p>
      <w:pPr>
        <w:pStyle w:val="ListParagraph"/>
        <w:numPr>
          <w:ilvl w:val="0"/>
          <w:numId w:val="2"/>
        </w:numPr>
        <w:spacing w:after="60"/>
      </w:pPr>
      <w:r>
        <w:rPr>
          <w:rFonts w:ascii="Arial" w:cs="Arial" w:eastAsia="Arial" w:hAnsi="Arial"/>
          <w:sz w:val="20"/>
          <w:szCs w:val="20"/>
        </w:rPr>
        <w:t xml:space="preserve">Modified fire hazard zone restrictions: projects allowed in VHFHSZ if local jurisdiction has adopted fire hazard mitigation measures</w:t>
      </w:r>
    </w:p>
    <w:p>
      <w:pPr>
        <w:pStyle w:val="ListParagraph"/>
        <w:numPr>
          <w:ilvl w:val="0"/>
          <w:numId w:val="2"/>
        </w:numPr>
        <w:spacing w:after="60"/>
      </w:pPr>
      <w:r>
        <w:rPr>
          <w:rFonts w:ascii="Arial" w:cs="Arial" w:eastAsia="Arial" w:hAnsi="Arial"/>
          <w:sz w:val="20"/>
          <w:szCs w:val="20"/>
        </w:rPr>
        <w:t xml:space="preserve">Deeper affordability requirements for rental projects in Bay Area: 20% at &lt;120% AMI with average at &lt;100% AMI</w:t>
      </w:r>
    </w:p>
    <w:p>
      <w:pPr>
        <w:pStyle w:val="ListParagraph"/>
        <w:numPr>
          <w:ilvl w:val="0"/>
          <w:numId w:val="2"/>
        </w:numPr>
        <w:spacing w:after="60"/>
      </w:pPr>
      <w:r>
        <w:rPr>
          <w:rFonts w:ascii="Arial" w:cs="Arial" w:eastAsia="Arial" w:hAnsi="Arial"/>
          <w:sz w:val="20"/>
          <w:szCs w:val="20"/>
        </w:rPr>
        <w:t xml:space="preserve">Prevailing wage required for all construction workers; apprenticeship standards for projects &gt;50 units</w:t>
      </w:r>
    </w:p>
    <w:p>
      <w:pPr>
        <w:pStyle w:val="ListParagraph"/>
        <w:numPr>
          <w:ilvl w:val="0"/>
          <w:numId w:val="2"/>
        </w:numPr>
        <w:spacing w:after="60"/>
      </w:pPr>
      <w:r>
        <w:rPr>
          <w:rFonts w:ascii="Arial" w:cs="Arial" w:eastAsia="Arial" w:hAnsi="Arial"/>
          <w:sz w:val="20"/>
          <w:szCs w:val="20"/>
        </w:rPr>
        <w:t xml:space="preserve">Pre-application requirements: tribal consultation (AB 168) and public meeting in certain census tracts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High relevance for any multifamily project in San Jose, Gilroy, or other Bay Area cities behind on RHNA.</w:t>
            </w:r>
          </w:p>
          <w:p>
            <w:pPr>
              <w:spacing w:after="60"/>
            </w:pPr>
            <w:r>
              <w:rPr>
                <w:rFonts w:ascii="Arial" w:cs="Arial" w:eastAsia="Arial" w:hAnsi="Arial"/>
                <w:color w:val="404040"/>
                <w:sz w:val="20"/>
                <w:szCs w:val="20"/>
              </w:rPr>
              <w:t xml:space="preserve">Eliminates the single biggest timeline risk: discretionary review and public hearings.</w:t>
            </w:r>
          </w:p>
          <w:p>
            <w:pPr>
              <w:spacing w:after="60"/>
            </w:pPr>
            <w:r>
              <w:rPr>
                <w:rFonts w:ascii="Arial" w:cs="Arial" w:eastAsia="Arial" w:hAnsi="Arial"/>
                <w:color w:val="404040"/>
                <w:sz w:val="20"/>
                <w:szCs w:val="20"/>
              </w:rPr>
              <w:t xml:space="preserve">Combined with SB 684 (10-unit streamlining), creates powerful ministerial pathway for SVDen-scale projects.</w:t>
            </w:r>
          </w:p>
          <w:p>
            <w:pPr>
              <w:spacing w:after="60"/>
            </w:pPr>
            <w:r>
              <w:rPr>
                <w:rFonts w:ascii="Arial" w:cs="Arial" w:eastAsia="Arial" w:hAnsi="Arial"/>
                <w:color w:val="404040"/>
                <w:sz w:val="20"/>
                <w:szCs w:val="20"/>
              </w:rPr>
              <w:t xml:space="preserve">Verify each target jurisdiction's RHNA compliance status with HCD before relying on SB 423 eligibility.</w:t>
            </w:r>
          </w:p>
        </w:tc>
      </w:tr>
    </w:tbl>
    <w:p>
      <w:pPr>
        <w:spacing w:after="60"/>
      </w:pPr>
    </w:p>
    <w:p>
      <w:pPr>
        <w:spacing w:after="60"/>
      </w:pPr>
    </w:p>
    <w:p>
      <w:pPr>
        <w:pStyle w:val="Heading2"/>
      </w:pPr>
      <w:r>
        <w:t xml:space="preserve">AB 2011: Affordable Housing and High Road Jobs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§65912.100–.140 (as amended by AB 2243)</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July 1, 2023 (AB 2243 amendments: January 1, 2025)</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2033</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Supply — Commercial Zone Conversion</w:t>
            </w:r>
          </w:p>
        </w:tc>
      </w:tr>
    </w:tbl>
    <w:p>
      <w:pPr>
        <w:spacing w:after="60"/>
      </w:pPr>
    </w:p>
    <w:p>
      <w:pPr>
        <w:spacing w:after="120"/>
      </w:pPr>
      <w:r>
        <w:rPr>
          <w:rFonts w:ascii="Arial" w:cs="Arial" w:eastAsia="Arial" w:hAnsi="Arial"/>
          <w:sz w:val="21"/>
          <w:szCs w:val="21"/>
        </w:rPr>
        <w:t xml:space="preserve">AB 2011 creates a ministerial approval pathway for multifamily housing on commercially zoned land, with two tracks: 100% affordable projects on any commercial site, and mixed-income projects along commercial corridors. The law was significantly expanded by AB 2243, effective January 1, 2025, which broadened corridor definitions, expanded eligibility near freeways, and imposed stricter processing timelines on jurisdictions.</w:t>
      </w:r>
    </w:p>
    <w:p>
      <w:pPr>
        <w:spacing w:after="120"/>
      </w:pPr>
      <w:r>
        <w:rPr>
          <w:rFonts w:ascii="Arial" w:cs="Arial" w:eastAsia="Arial" w:hAnsi="Arial"/>
          <w:sz w:val="21"/>
          <w:szCs w:val="21"/>
        </w:rPr>
        <w:t xml:space="preserve">Analysis estimates AB 2011 could enable 1.6 to 2.4 million new homes statewide, including 300,000–400,000 affordable units. However, adoption has been slow—most Bay Area jurisdictions deferred implementation, and in the first 18 months only a handful of projects utilized the law. Interest is increasing with the AB 2243 amendments.</w:t>
      </w:r>
    </w:p>
    <w:p>
      <w:pPr>
        <w:spacing w:after="120"/>
      </w:pPr>
      <w:r>
        <w:rPr>
          <w:rFonts w:ascii="Arial" w:cs="Arial" w:eastAsia="Arial" w:hAnsi="Arial"/>
          <w:sz w:val="21"/>
          <w:szCs w:val="21"/>
        </w:rPr>
        <w:t xml:space="preserve">All projects require prevailing wages. Mixed-income projects must include 8% very-low-income + 5% extremely-low-income units (rental), or 30% moderate-income (ownership).</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3"/>
        </w:numPr>
        <w:spacing w:after="60"/>
      </w:pPr>
      <w:r>
        <w:rPr>
          <w:rFonts w:ascii="Arial" w:cs="Arial" w:eastAsia="Arial" w:hAnsi="Arial"/>
          <w:sz w:val="20"/>
          <w:szCs w:val="20"/>
        </w:rPr>
        <w:t xml:space="preserve">Two tracks: (1) 100% affordable on any commercially zoned land; (2) mixed-income along commercial corridors with 70–150 ft right-of-way</w:t>
      </w:r>
    </w:p>
    <w:p>
      <w:pPr>
        <w:pStyle w:val="ListParagraph"/>
        <w:numPr>
          <w:ilvl w:val="0"/>
          <w:numId w:val="3"/>
        </w:numPr>
        <w:spacing w:after="60"/>
      </w:pPr>
      <w:r>
        <w:rPr>
          <w:rFonts w:ascii="Arial" w:cs="Arial" w:eastAsia="Arial" w:hAnsi="Arial"/>
          <w:sz w:val="20"/>
          <w:szCs w:val="20"/>
        </w:rPr>
        <w:t xml:space="preserve">Ministerial approval, CEQA exempt—processing within 60 days (&lt;150 units) or 90 days (&gt;150 units)</w:t>
      </w:r>
    </w:p>
    <w:p>
      <w:pPr>
        <w:pStyle w:val="ListParagraph"/>
        <w:numPr>
          <w:ilvl w:val="0"/>
          <w:numId w:val="3"/>
        </w:numPr>
        <w:spacing w:after="60"/>
      </w:pPr>
      <w:r>
        <w:rPr>
          <w:rFonts w:ascii="Arial" w:cs="Arial" w:eastAsia="Arial" w:hAnsi="Arial"/>
          <w:sz w:val="20"/>
          <w:szCs w:val="20"/>
        </w:rPr>
        <w:t xml:space="preserve">AB 2243 (2025): expanded corridor eligibility, allows projects within 500 ft of freeway if air quality standards met, consistency determination required</w:t>
      </w:r>
    </w:p>
    <w:p>
      <w:pPr>
        <w:pStyle w:val="ListParagraph"/>
        <w:numPr>
          <w:ilvl w:val="0"/>
          <w:numId w:val="3"/>
        </w:numPr>
        <w:spacing w:after="60"/>
      </w:pPr>
      <w:r>
        <w:rPr>
          <w:rFonts w:ascii="Arial" w:cs="Arial" w:eastAsia="Arial" w:hAnsi="Arial"/>
          <w:sz w:val="20"/>
          <w:szCs w:val="20"/>
        </w:rPr>
        <w:t xml:space="preserve">Minimum density and height standards set by statute, varying by proximity to transit (30–65 ft height limits)</w:t>
      </w:r>
    </w:p>
    <w:p>
      <w:pPr>
        <w:pStyle w:val="ListParagraph"/>
        <w:numPr>
          <w:ilvl w:val="0"/>
          <w:numId w:val="3"/>
        </w:numPr>
        <w:spacing w:after="60"/>
      </w:pPr>
      <w:r>
        <w:rPr>
          <w:rFonts w:ascii="Arial" w:cs="Arial" w:eastAsia="Arial" w:hAnsi="Arial"/>
          <w:sz w:val="20"/>
          <w:szCs w:val="20"/>
        </w:rPr>
        <w:t xml:space="preserve">Cannot demolish existing housing, historic structures, or displace tenants within last 10 years</w:t>
      </w:r>
    </w:p>
    <w:p>
      <w:pPr>
        <w:pStyle w:val="ListParagraph"/>
        <w:numPr>
          <w:ilvl w:val="0"/>
          <w:numId w:val="3"/>
        </w:numPr>
        <w:spacing w:after="60"/>
      </w:pPr>
      <w:r>
        <w:rPr>
          <w:rFonts w:ascii="Arial" w:cs="Arial" w:eastAsia="Arial" w:hAnsi="Arial"/>
          <w:sz w:val="20"/>
          <w:szCs w:val="20"/>
        </w:rPr>
        <w:t xml:space="preserve">No sites within VHFHSZ, 500 ft of freeway (pre-AB 2243), 3,200 ft of refinery, or on tribal cultural resources</w:t>
      </w:r>
    </w:p>
    <w:p>
      <w:pPr>
        <w:pStyle w:val="ListParagraph"/>
        <w:numPr>
          <w:ilvl w:val="0"/>
          <w:numId w:val="3"/>
        </w:numPr>
        <w:spacing w:after="60"/>
      </w:pPr>
      <w:r>
        <w:rPr>
          <w:rFonts w:ascii="Arial" w:cs="Arial" w:eastAsia="Arial" w:hAnsi="Arial"/>
          <w:sz w:val="20"/>
          <w:szCs w:val="20"/>
        </w:rPr>
        <w:t xml:space="preserve">Commercial tenant relocation assistance and notification requirements</w:t>
      </w:r>
    </w:p>
    <w:p>
      <w:pPr>
        <w:pStyle w:val="ListParagraph"/>
        <w:numPr>
          <w:ilvl w:val="0"/>
          <w:numId w:val="3"/>
        </w:numPr>
        <w:spacing w:after="60"/>
      </w:pPr>
      <w:r>
        <w:rPr>
          <w:rFonts w:ascii="Arial" w:cs="Arial" w:eastAsia="Arial" w:hAnsi="Arial"/>
          <w:sz w:val="20"/>
          <w:szCs w:val="20"/>
        </w:rPr>
        <w:t xml:space="preserve">Building conversion projects exempt from maximum density under AB 2243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Opens commercial parcels in San Jose, Gilroy, Mountain View as potential housing sites—expands SVDen's addressable land inventory.</w:t>
            </w:r>
          </w:p>
          <w:p>
            <w:pPr>
              <w:spacing w:after="60"/>
            </w:pPr>
            <w:r>
              <w:rPr>
                <w:rFonts w:ascii="Arial" w:cs="Arial" w:eastAsia="Arial" w:hAnsi="Arial"/>
                <w:color w:val="404040"/>
                <w:sz w:val="20"/>
                <w:szCs w:val="20"/>
              </w:rPr>
              <w:t xml:space="preserve">Mixed-income corridor projects could pair with Nobilia kitchen premium positioning for high-end mixed-use developments.</w:t>
            </w:r>
          </w:p>
          <w:p>
            <w:pPr>
              <w:spacing w:after="60"/>
            </w:pPr>
            <w:r>
              <w:rPr>
                <w:rFonts w:ascii="Arial" w:cs="Arial" w:eastAsia="Arial" w:hAnsi="Arial"/>
                <w:color w:val="404040"/>
                <w:sz w:val="20"/>
                <w:szCs w:val="20"/>
              </w:rPr>
              <w:t xml:space="preserve">Prevailing wage requirement increases labor cost 15–25%—must be modeled in pro forma. CFS/prefab efficiency becomes more valuable when labor rates are fixed higher.</w:t>
            </w:r>
          </w:p>
          <w:p>
            <w:pPr>
              <w:spacing w:after="60"/>
            </w:pPr>
            <w:r>
              <w:rPr>
                <w:rFonts w:ascii="Arial" w:cs="Arial" w:eastAsia="Arial" w:hAnsi="Arial"/>
                <w:color w:val="404040"/>
                <w:sz w:val="20"/>
                <w:szCs w:val="20"/>
              </w:rPr>
              <w:t xml:space="preserve">Check AB 2243 updates before any application: corridor width definitions and consistency determination timelines changed January 1, 2025.</w:t>
            </w:r>
          </w:p>
        </w:tc>
      </w:tr>
    </w:tbl>
    <w:p>
      <w:pPr>
        <w:spacing w:after="60"/>
      </w:pPr>
    </w:p>
    <w:p>
      <w:pPr>
        <w:spacing w:after="60"/>
      </w:pPr>
    </w:p>
    <w:p>
      <w:pPr>
        <w:pStyle w:val="Heading2"/>
      </w:pPr>
      <w:r>
        <w:t xml:space="preserve">AB 1033: ADU Condominium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§65852.2 (as amended)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2024 (opt-in by local ordinance)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ADU — Ownership Innovation</w:t>
            </w:r>
          </w:p>
        </w:tc>
      </w:tr>
    </w:tbl>
    <w:p>
      <w:pPr>
        <w:spacing w:after="60"/>
      </w:pPr>
    </w:p>
    <w:p>
      <w:pPr>
        <w:spacing w:after="120"/>
      </w:pPr>
      <w:r>
        <w:rPr>
          <w:rFonts w:ascii="Arial" w:cs="Arial" w:eastAsia="Arial" w:hAnsi="Arial"/>
          <w:sz w:val="21"/>
          <w:szCs w:val="21"/>
        </w:rPr>
        <w:t xml:space="preserve">AB 1033 removes the statewide prohibition on selling ADUs separately from the primary residence, allowing local governments to opt in through ordinance. Where adopted, homeowners can convert their property into a condominium under the Davis-Stirling Act, creating separate airspace units for the main house and ADU—each with its own APN, financing, and ownership.</w:t>
      </w:r>
    </w:p>
    <w:p>
      <w:pPr>
        <w:spacing w:after="120"/>
      </w:pPr>
      <w:r>
        <w:rPr>
          <w:rFonts w:ascii="Arial" w:cs="Arial" w:eastAsia="Arial" w:hAnsi="Arial"/>
          <w:sz w:val="21"/>
          <w:szCs w:val="21"/>
        </w:rPr>
        <w:t xml:space="preserve">San Jose was the first city to adopt AB 1033 (July 2024) and recorded California's first ADU condominium conversion in August 2025. San Diego, Santa Cruz, Santa Monica, and Berkeley have followed. San Francisco and Los Angeles are actively considering adoption.</w:t>
      </w:r>
    </w:p>
    <w:p>
      <w:pPr>
        <w:spacing w:after="120"/>
      </w:pPr>
      <w:r>
        <w:rPr>
          <w:rFonts w:ascii="Arial" w:cs="Arial" w:eastAsia="Arial" w:hAnsi="Arial"/>
          <w:sz w:val="21"/>
          <w:szCs w:val="21"/>
        </w:rPr>
        <w:t xml:space="preserve">This is not a lot split. The land remains a single parcel with shared common area. Each unit gets a separate APN for tax purposes only. Requires separate utilities, HOA formation (even if just two units), and DRE compliance.</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4"/>
        </w:numPr>
        <w:spacing w:after="60"/>
      </w:pPr>
      <w:r>
        <w:rPr>
          <w:rFonts w:ascii="Arial" w:cs="Arial" w:eastAsia="Arial" w:hAnsi="Arial"/>
          <w:sz w:val="20"/>
          <w:szCs w:val="20"/>
        </w:rPr>
        <w:t xml:space="preserve">Permissive, not mandatory: local governments must adopt ordinance to enable</w:t>
      </w:r>
    </w:p>
    <w:p>
      <w:pPr>
        <w:pStyle w:val="ListParagraph"/>
        <w:numPr>
          <w:ilvl w:val="0"/>
          <w:numId w:val="4"/>
        </w:numPr>
        <w:spacing w:after="60"/>
      </w:pPr>
      <w:r>
        <w:rPr>
          <w:rFonts w:ascii="Arial" w:cs="Arial" w:eastAsia="Arial" w:hAnsi="Arial"/>
          <w:sz w:val="20"/>
          <w:szCs w:val="20"/>
        </w:rPr>
        <w:t xml:space="preserve">Creates condominium structure under Davis-Stirling Common Interest Development Act (Civil Code §4000+)</w:t>
      </w:r>
    </w:p>
    <w:p>
      <w:pPr>
        <w:pStyle w:val="ListParagraph"/>
        <w:numPr>
          <w:ilvl w:val="0"/>
          <w:numId w:val="4"/>
        </w:numPr>
        <w:spacing w:after="60"/>
      </w:pPr>
      <w:r>
        <w:rPr>
          <w:rFonts w:ascii="Arial" w:cs="Arial" w:eastAsia="Arial" w:hAnsi="Arial"/>
          <w:sz w:val="20"/>
          <w:szCs w:val="20"/>
        </w:rPr>
        <w:t xml:space="preserve">Separate APNs assigned for property tax purposes; land remains single lot</w:t>
      </w:r>
    </w:p>
    <w:p>
      <w:pPr>
        <w:pStyle w:val="ListParagraph"/>
        <w:numPr>
          <w:ilvl w:val="0"/>
          <w:numId w:val="4"/>
        </w:numPr>
        <w:spacing w:after="60"/>
      </w:pPr>
      <w:r>
        <w:rPr>
          <w:rFonts w:ascii="Arial" w:cs="Arial" w:eastAsia="Arial" w:hAnsi="Arial"/>
          <w:sz w:val="20"/>
          <w:szCs w:val="20"/>
        </w:rPr>
        <w:t xml:space="preserve">Requires: separate utility metering, HOA formation, DRE subdivision compliance, condo plan recordation</w:t>
      </w:r>
    </w:p>
    <w:p>
      <w:pPr>
        <w:pStyle w:val="ListParagraph"/>
        <w:numPr>
          <w:ilvl w:val="0"/>
          <w:numId w:val="4"/>
        </w:numPr>
        <w:spacing w:after="60"/>
      </w:pPr>
      <w:r>
        <w:rPr>
          <w:rFonts w:ascii="Arial" w:cs="Arial" w:eastAsia="Arial" w:hAnsi="Arial"/>
          <w:sz w:val="20"/>
          <w:szCs w:val="20"/>
        </w:rPr>
        <w:t xml:space="preserve">Applies to both new and existing ADUs that meet building codes and safety standards</w:t>
      </w:r>
    </w:p>
    <w:p>
      <w:pPr>
        <w:pStyle w:val="ListParagraph"/>
        <w:numPr>
          <w:ilvl w:val="0"/>
          <w:numId w:val="4"/>
        </w:numPr>
        <w:spacing w:after="60"/>
      </w:pPr>
      <w:r>
        <w:rPr>
          <w:rFonts w:ascii="Arial" w:cs="Arial" w:eastAsia="Arial" w:hAnsi="Arial"/>
          <w:sz w:val="20"/>
          <w:szCs w:val="20"/>
        </w:rPr>
        <w:t xml:space="preserve">San Jose first adopter (July 2024), first recorded conversion (August 2025 by AlphaX RE Capital)</w:t>
      </w:r>
    </w:p>
    <w:p>
      <w:pPr>
        <w:pStyle w:val="ListParagraph"/>
        <w:numPr>
          <w:ilvl w:val="0"/>
          <w:numId w:val="4"/>
        </w:numPr>
        <w:spacing w:after="60"/>
      </w:pPr>
      <w:r>
        <w:rPr>
          <w:rFonts w:ascii="Arial" w:cs="Arial" w:eastAsia="Arial" w:hAnsi="Arial"/>
          <w:sz w:val="20"/>
          <w:szCs w:val="20"/>
        </w:rPr>
        <w:t xml:space="preserve">San Diego adopted August 2025; Santa Monica early 2025; Berkeley and San Francisco exploring</w:t>
      </w:r>
    </w:p>
    <w:p>
      <w:pPr>
        <w:pStyle w:val="ListParagraph"/>
        <w:numPr>
          <w:ilvl w:val="0"/>
          <w:numId w:val="4"/>
        </w:numPr>
        <w:spacing w:after="60"/>
      </w:pPr>
      <w:r>
        <w:rPr>
          <w:rFonts w:ascii="Arial" w:cs="Arial" w:eastAsia="Arial" w:hAnsi="Arial"/>
          <w:sz w:val="20"/>
          <w:szCs w:val="20"/>
        </w:rPr>
        <w:t xml:space="preserve">AB 976 (2024) permanently removes owner-occupancy requirements for ADUs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DIRECTLY RELEVANT to 1378 Longfellow ADU strategy. San Jose has adopted AB 1033—SVDen can now build an ADU and sell it as a separate condo unit.</w:t>
            </w:r>
          </w:p>
          <w:p>
            <w:pPr>
              <w:spacing w:after="60"/>
            </w:pPr>
            <w:r>
              <w:rPr>
                <w:rFonts w:ascii="Arial" w:cs="Arial" w:eastAsia="Arial" w:hAnsi="Arial"/>
                <w:color w:val="404040"/>
                <w:sz w:val="20"/>
                <w:szCs w:val="20"/>
              </w:rPr>
              <w:t xml:space="preserve">Fundamentally changes ADU investment thesis: instead of rental income only, ADU can be sold for immediate capital recovery. Changes pro forma from cash-flow model to for-sale model.</w:t>
            </w:r>
          </w:p>
          <w:p>
            <w:pPr>
              <w:spacing w:after="60"/>
            </w:pPr>
            <w:r>
              <w:rPr>
                <w:rFonts w:ascii="Arial" w:cs="Arial" w:eastAsia="Arial" w:hAnsi="Arial"/>
                <w:color w:val="404040"/>
                <w:sz w:val="20"/>
                <w:szCs w:val="20"/>
              </w:rPr>
              <w:t xml:space="preserve">Estimated ADU condo values in San Jose: $400K–$700K depending on size/finish, vs. primary homes $1M+. Creates “attainable” homeownership product.</w:t>
            </w:r>
          </w:p>
          <w:p>
            <w:pPr>
              <w:spacing w:after="60"/>
            </w:pPr>
            <w:r>
              <w:rPr>
                <w:rFonts w:ascii="Arial" w:cs="Arial" w:eastAsia="Arial" w:hAnsi="Arial"/>
                <w:color w:val="404040"/>
                <w:sz w:val="20"/>
                <w:szCs w:val="20"/>
              </w:rPr>
              <w:t xml:space="preserve">Nobilia kitchen in a sellable ADU condo = premium positioning in a new product category. First-mover advantage in Bay Area.</w:t>
            </w:r>
          </w:p>
          <w:p>
            <w:pPr>
              <w:spacing w:after="60"/>
            </w:pPr>
            <w:r>
              <w:rPr>
                <w:rFonts w:ascii="Arial" w:cs="Arial" w:eastAsia="Arial" w:hAnsi="Arial"/>
                <w:color w:val="404040"/>
                <w:sz w:val="20"/>
                <w:szCs w:val="20"/>
              </w:rPr>
              <w:t xml:space="preserve">Pair with SB 9 lot split for maximum unit count: split lot, build primary + ADU on each parcel, sell ADUs as condos = 4 total sellable units from one original lot.</w:t>
            </w:r>
          </w:p>
        </w:tc>
      </w:tr>
    </w:tbl>
    <w:p>
      <w:pPr>
        <w:spacing w:after="60"/>
      </w:pPr>
    </w:p>
    <w:p>
      <w:pPr>
        <w:spacing w:after="60"/>
      </w:pPr>
    </w:p>
    <w:p>
      <w:pPr>
        <w:pStyle w:val="Heading2"/>
      </w:pPr>
      <w:r>
        <w:t xml:space="preserve">SB 684 / SB 1123: Small Lot Subdivision Streamlining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§66499.40–41 (as amended by SB 1123)</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 684: July 1, 2024; SB 1123 amendments: July 1, 2025</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Supply — Small Project Ministerial Approval</w:t>
            </w:r>
          </w:p>
        </w:tc>
      </w:tr>
    </w:tbl>
    <w:p>
      <w:pPr>
        <w:spacing w:after="60"/>
      </w:pPr>
    </w:p>
    <w:p>
      <w:pPr>
        <w:spacing w:after="120"/>
      </w:pPr>
      <w:r>
        <w:rPr>
          <w:rFonts w:ascii="Arial" w:cs="Arial" w:eastAsia="Arial" w:hAnsi="Arial"/>
          <w:sz w:val="21"/>
          <w:szCs w:val="21"/>
        </w:rPr>
        <w:t xml:space="preserve">SB 684 creates a ministerial, CEQA-exempt approval process for subdivisions resulting in 10 or fewer parcels and housing developments of 10 or fewer units on multifamily-zoned urban infill lots under 5 acres. SB 1123 (July 2025) expanded eligibility to include vacant single-family zoned properties.</w:t>
      </w:r>
    </w:p>
    <w:p>
      <w:pPr>
        <w:spacing w:after="120"/>
      </w:pPr>
      <w:r>
        <w:rPr>
          <w:rFonts w:ascii="Arial" w:cs="Arial" w:eastAsia="Arial" w:hAnsi="Arial"/>
          <w:sz w:val="21"/>
          <w:szCs w:val="21"/>
        </w:rPr>
        <w:t xml:space="preserve">Local agencies have 60 days to approve or deny; if no action, the project is deemed approved. Building permits can be issued before final map recordation, allowing construction to begin earlier. No discretionary review, no public hearing, no appeal.</w:t>
      </w:r>
    </w:p>
    <w:p>
      <w:pPr>
        <w:spacing w:after="120"/>
      </w:pPr>
      <w:r>
        <w:rPr>
          <w:rFonts w:ascii="Arial" w:cs="Arial" w:eastAsia="Arial" w:hAnsi="Arial"/>
          <w:sz w:val="21"/>
          <w:szCs w:val="21"/>
        </w:rPr>
        <w:t xml:space="preserve">Multiple ownership models permitted: fee-simple lots, common interest developments, housing cooperatives, and community land trusts. Projects must meet objective standards but cities cannot impose: setbacks between units, enclosed/covered parking requirements, or FAR below 1.0 (3–7 units) or 1.25 (8–10 units).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5"/>
        </w:numPr>
        <w:spacing w:after="60"/>
      </w:pPr>
      <w:r>
        <w:rPr>
          <w:rFonts w:ascii="Arial" w:cs="Arial" w:eastAsia="Arial" w:hAnsi="Arial"/>
          <w:sz w:val="20"/>
          <w:szCs w:val="20"/>
        </w:rPr>
        <w:t xml:space="preserve">Ministerial approval for ≤10 parcels/units on multifamily-zoned urban infill lots ≤5 acres (SB 684)</w:t>
      </w:r>
    </w:p>
    <w:p>
      <w:pPr>
        <w:pStyle w:val="ListParagraph"/>
        <w:numPr>
          <w:ilvl w:val="0"/>
          <w:numId w:val="5"/>
        </w:numPr>
        <w:spacing w:after="60"/>
      </w:pPr>
      <w:r>
        <w:rPr>
          <w:rFonts w:ascii="Arial" w:cs="Arial" w:eastAsia="Arial" w:hAnsi="Arial"/>
          <w:sz w:val="20"/>
          <w:szCs w:val="20"/>
        </w:rPr>
        <w:t xml:space="preserve">SB 1123 (July 2025): expanded to vacant single-family zoned lots meeting criteria</w:t>
      </w:r>
    </w:p>
    <w:p>
      <w:pPr>
        <w:pStyle w:val="ListParagraph"/>
        <w:numPr>
          <w:ilvl w:val="0"/>
          <w:numId w:val="5"/>
        </w:numPr>
        <w:spacing w:after="60"/>
      </w:pPr>
      <w:r>
        <w:rPr>
          <w:rFonts w:ascii="Arial" w:cs="Arial" w:eastAsia="Arial" w:hAnsi="Arial"/>
          <w:sz w:val="20"/>
          <w:szCs w:val="20"/>
        </w:rPr>
        <w:t xml:space="preserve">60-day approval deadline; deemed approved if no action—no discretionary review, CEQA, or appeal</w:t>
      </w:r>
    </w:p>
    <w:p>
      <w:pPr>
        <w:pStyle w:val="ListParagraph"/>
        <w:numPr>
          <w:ilvl w:val="0"/>
          <w:numId w:val="5"/>
        </w:numPr>
        <w:spacing w:after="60"/>
      </w:pPr>
      <w:r>
        <w:rPr>
          <w:rFonts w:ascii="Arial" w:cs="Arial" w:eastAsia="Arial" w:hAnsi="Arial"/>
          <w:sz w:val="20"/>
          <w:szCs w:val="20"/>
        </w:rPr>
        <w:t xml:space="preserve">Building permits can issue before final map recordation (accelerates construction start)</w:t>
      </w:r>
    </w:p>
    <w:p>
      <w:pPr>
        <w:pStyle w:val="ListParagraph"/>
        <w:numPr>
          <w:ilvl w:val="0"/>
          <w:numId w:val="5"/>
        </w:numPr>
        <w:spacing w:after="60"/>
      </w:pPr>
      <w:r>
        <w:rPr>
          <w:rFonts w:ascii="Arial" w:cs="Arial" w:eastAsia="Arial" w:hAnsi="Arial"/>
          <w:sz w:val="20"/>
          <w:szCs w:val="20"/>
        </w:rPr>
        <w:t xml:space="preserve">Prohibited local standards: no setbacks between units, no enclosed parking, no FAR below 1.0/1.25</w:t>
      </w:r>
    </w:p>
    <w:p>
      <w:pPr>
        <w:pStyle w:val="ListParagraph"/>
        <w:numPr>
          <w:ilvl w:val="0"/>
          <w:numId w:val="5"/>
        </w:numPr>
        <w:spacing w:after="60"/>
      </w:pPr>
      <w:r>
        <w:rPr>
          <w:rFonts w:ascii="Arial" w:cs="Arial" w:eastAsia="Arial" w:hAnsi="Arial"/>
          <w:sz w:val="20"/>
          <w:szCs w:val="20"/>
        </w:rPr>
        <w:t xml:space="preserve">Multiple ownership models: fee simple, CID, co-op, community land trust</w:t>
      </w:r>
    </w:p>
    <w:p>
      <w:pPr>
        <w:pStyle w:val="ListParagraph"/>
        <w:numPr>
          <w:ilvl w:val="0"/>
          <w:numId w:val="5"/>
        </w:numPr>
        <w:spacing w:after="60"/>
      </w:pPr>
      <w:r>
        <w:rPr>
          <w:rFonts w:ascii="Arial" w:cs="Arial" w:eastAsia="Arial" w:hAnsi="Arial"/>
          <w:sz w:val="20"/>
          <w:szCs w:val="20"/>
        </w:rPr>
        <w:t xml:space="preserve">Subject to local inclusionary housing ordinances</w:t>
      </w:r>
    </w:p>
    <w:p>
      <w:pPr>
        <w:pStyle w:val="ListParagraph"/>
        <w:numPr>
          <w:ilvl w:val="0"/>
          <w:numId w:val="5"/>
        </w:numPr>
        <w:spacing w:after="60"/>
      </w:pPr>
      <w:r>
        <w:rPr>
          <w:rFonts w:ascii="Arial" w:cs="Arial" w:eastAsia="Arial" w:hAnsi="Arial"/>
          <w:sz w:val="20"/>
          <w:szCs w:val="20"/>
        </w:rPr>
        <w:t xml:space="preserve">Cities actively using: Hawthorne, Cudahy, Rosemead, Hayward, many Bay Area jurisdictions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Ideal pathway for SVDen 3–10 unit infill projects in San Jose, Gilroy, or Bay Area multifamily parcels.</w:t>
            </w:r>
          </w:p>
          <w:p>
            <w:pPr>
              <w:spacing w:after="60"/>
            </w:pPr>
            <w:r>
              <w:rPr>
                <w:rFonts w:ascii="Arial" w:cs="Arial" w:eastAsia="Arial" w:hAnsi="Arial"/>
                <w:color w:val="404040"/>
                <w:sz w:val="20"/>
                <w:szCs w:val="20"/>
              </w:rPr>
              <w:t xml:space="preserve">60-day ministerial timeline vs. 12–24 month discretionary = dramatically faster capital deployment. Changes project IRR fundamentally.</w:t>
            </w:r>
          </w:p>
          <w:p>
            <w:pPr>
              <w:spacing w:after="60"/>
            </w:pPr>
            <w:r>
              <w:rPr>
                <w:rFonts w:ascii="Arial" w:cs="Arial" w:eastAsia="Arial" w:hAnsi="Arial"/>
                <w:color w:val="404040"/>
                <w:sz w:val="20"/>
                <w:szCs w:val="20"/>
              </w:rPr>
              <w:t xml:space="preserve">Combined with CFS prefab construction: ministerial approval in 60 days + 90-day CFS framing = potential 6-month permit-to-occupancy timeline.</w:t>
            </w:r>
          </w:p>
          <w:p>
            <w:pPr>
              <w:spacing w:after="60"/>
            </w:pPr>
            <w:r>
              <w:rPr>
                <w:rFonts w:ascii="Arial" w:cs="Arial" w:eastAsia="Arial" w:hAnsi="Arial"/>
                <w:color w:val="404040"/>
                <w:sz w:val="20"/>
                <w:szCs w:val="20"/>
              </w:rPr>
              <w:t xml:space="preserve">For-sale product (fee-simple townhomes) at attainable price points using SB 684, with Nobilia kitchens as differentiator.</w:t>
            </w:r>
          </w:p>
          <w:p>
            <w:pPr>
              <w:spacing w:after="60"/>
            </w:pPr>
            <w:r>
              <w:rPr>
                <w:rFonts w:ascii="Arial" w:cs="Arial" w:eastAsia="Arial" w:hAnsi="Arial"/>
                <w:color w:val="404040"/>
                <w:sz w:val="20"/>
                <w:szCs w:val="20"/>
              </w:rPr>
              <w:t xml:space="preserve">SB 1123 expansion to single-family zones (July 2025) opens far more potential sites in suburban Bay Area.</w:t>
            </w:r>
          </w:p>
        </w:tc>
      </w:tr>
    </w:tbl>
    <w:p>
      <w:pPr>
        <w:spacing w:after="60"/>
      </w:pPr>
    </w:p>
    <w:p>
      <w:pPr>
        <w:spacing w:after="60"/>
      </w:pPr>
    </w:p>
    <w:p>
      <w:pPr>
        <w:pStyle w:val="Heading2"/>
      </w:pPr>
      <w:r>
        <w:t xml:space="preserve">SB 4: Affordable Housing on Faith &amp; Higher Education 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§65913.6</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2024</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2036</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Supply — By-Right Affordable</w:t>
            </w:r>
          </w:p>
        </w:tc>
      </w:tr>
    </w:tbl>
    <w:p>
      <w:pPr>
        <w:spacing w:after="60"/>
      </w:pPr>
    </w:p>
    <w:p>
      <w:pPr>
        <w:spacing w:after="120"/>
      </w:pPr>
      <w:r>
        <w:rPr>
          <w:rFonts w:ascii="Arial" w:cs="Arial" w:eastAsia="Arial" w:hAnsi="Arial"/>
          <w:sz w:val="21"/>
          <w:szCs w:val="21"/>
        </w:rPr>
        <w:t xml:space="preserve">SB 4 enables 100% affordable housing to be built by-right on land owned by religious institutions and independent nonprofit colleges/universities. UC Berkeley's Terner Center estimated approximately 171,000 acres statewide could be eligible.</w:t>
      </w:r>
    </w:p>
    <w:p>
      <w:pPr>
        <w:spacing w:after="120"/>
      </w:pPr>
      <w:r>
        <w:rPr>
          <w:rFonts w:ascii="Arial" w:cs="Arial" w:eastAsia="Arial" w:hAnsi="Arial"/>
          <w:sz w:val="21"/>
          <w:szCs w:val="21"/>
        </w:rPr>
        <w:t xml:space="preserve">Projects receive streamlined ministerial approval, bypassing CEQA and discretionary review. The law addresses a long-standing barrier: churches and schools sitting on valuable underutilized land but unable to develop it due to zoning restrictions and lengthy approval processes.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6"/>
        </w:numPr>
        <w:spacing w:after="60"/>
      </w:pPr>
      <w:r>
        <w:rPr>
          <w:rFonts w:ascii="Arial" w:cs="Arial" w:eastAsia="Arial" w:hAnsi="Arial"/>
          <w:sz w:val="20"/>
          <w:szCs w:val="20"/>
        </w:rPr>
        <w:t xml:space="preserve">By-right, ministerial approval for 100% affordable housing on faith institution and nonprofit college/university land</w:t>
      </w:r>
    </w:p>
    <w:p>
      <w:pPr>
        <w:pStyle w:val="ListParagraph"/>
        <w:numPr>
          <w:ilvl w:val="0"/>
          <w:numId w:val="6"/>
        </w:numPr>
        <w:spacing w:after="60"/>
      </w:pPr>
      <w:r>
        <w:rPr>
          <w:rFonts w:ascii="Arial" w:cs="Arial" w:eastAsia="Arial" w:hAnsi="Arial"/>
          <w:sz w:val="20"/>
          <w:szCs w:val="20"/>
        </w:rPr>
        <w:t xml:space="preserve">CEQA exempt; no discretionary review or public hearing</w:t>
      </w:r>
    </w:p>
    <w:p>
      <w:pPr>
        <w:pStyle w:val="ListParagraph"/>
        <w:numPr>
          <w:ilvl w:val="0"/>
          <w:numId w:val="6"/>
        </w:numPr>
        <w:spacing w:after="60"/>
      </w:pPr>
      <w:r>
        <w:rPr>
          <w:rFonts w:ascii="Arial" w:cs="Arial" w:eastAsia="Arial" w:hAnsi="Arial"/>
          <w:sz w:val="20"/>
          <w:szCs w:val="20"/>
        </w:rPr>
        <w:t xml:space="preserve">Estimated 171,000 eligible acres statewide (Terner Center analysis)</w:t>
      </w:r>
    </w:p>
    <w:p>
      <w:pPr>
        <w:pStyle w:val="ListParagraph"/>
        <w:numPr>
          <w:ilvl w:val="0"/>
          <w:numId w:val="6"/>
        </w:numPr>
        <w:spacing w:after="60"/>
      </w:pPr>
      <w:r>
        <w:rPr>
          <w:rFonts w:ascii="Arial" w:cs="Arial" w:eastAsia="Arial" w:hAnsi="Arial"/>
          <w:sz w:val="20"/>
          <w:szCs w:val="20"/>
        </w:rPr>
        <w:t xml:space="preserve">Prevailing wage and labor standards required</w:t>
      </w:r>
    </w:p>
    <w:p>
      <w:pPr>
        <w:pStyle w:val="ListParagraph"/>
        <w:numPr>
          <w:ilvl w:val="0"/>
          <w:numId w:val="6"/>
        </w:numPr>
        <w:spacing w:after="60"/>
      </w:pPr>
      <w:r>
        <w:rPr>
          <w:rFonts w:ascii="Arial" w:cs="Arial" w:eastAsia="Arial" w:hAnsi="Arial"/>
          <w:sz w:val="20"/>
          <w:szCs w:val="20"/>
        </w:rPr>
        <w:t xml:space="preserve">Must meet objective local standards; height and density minimums established by statute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Partnership opportunity: SVDen could partner with Bay Area churches or colleges as developer/builder on their land.</w:t>
            </w:r>
          </w:p>
          <w:p>
            <w:pPr>
              <w:spacing w:after="60"/>
            </w:pPr>
            <w:r>
              <w:rPr>
                <w:rFonts w:ascii="Arial" w:cs="Arial" w:eastAsia="Arial" w:hAnsi="Arial"/>
                <w:color w:val="404040"/>
                <w:sz w:val="20"/>
                <w:szCs w:val="20"/>
              </w:rPr>
              <w:t xml:space="preserve">CFS construction and Nobilia kitchens position SVDen as quality builder for institutional partners who want high-quality affordable housing.</w:t>
            </w:r>
          </w:p>
          <w:p>
            <w:pPr>
              <w:spacing w:after="60"/>
            </w:pPr>
            <w:r>
              <w:rPr>
                <w:rFonts w:ascii="Arial" w:cs="Arial" w:eastAsia="Arial" w:hAnsi="Arial"/>
                <w:color w:val="404040"/>
                <w:sz w:val="20"/>
                <w:szCs w:val="20"/>
              </w:rPr>
              <w:t xml:space="preserve">Explore San Jose/South Bay church properties as potential development sites—many hold large parcels in high-demand residential areas.</w:t>
            </w:r>
          </w:p>
        </w:tc>
      </w:tr>
    </w:tbl>
    <w:p>
      <w:pPr>
        <w:spacing w:after="60"/>
      </w:pPr>
    </w:p>
    <w:p>
      <w:pPr>
        <w:spacing w:after="60"/>
      </w:pPr>
    </w:p>
    <w:p>
      <w:r>
        <w:br w:type="page"/>
      </w:r>
    </w:p>
    <w:p>
      <w:pPr>
        <w:pStyle w:val="Heading1"/>
      </w:pPr>
      <w:r>
        <w:t xml:space="preserve">Foundational Legal Framework</w:t>
      </w:r>
    </w:p>
    <w:p>
      <w:pPr>
        <w:spacing w:after="60"/>
      </w:pPr>
    </w:p>
    <w:p>
      <w:pPr>
        <w:pStyle w:val="Heading2"/>
      </w:pPr>
      <w:r>
        <w:t xml:space="preserve">HAA: Housing Accountability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§65589.5 (as strengthened by SB 330, SB 8)</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1982; substantially strengthened 2017–2021</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 330/SB 8 provisions extended through 2030</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Law — Anti-Denial Protection</w:t>
            </w:r>
          </w:p>
        </w:tc>
      </w:tr>
    </w:tbl>
    <w:p>
      <w:pPr>
        <w:spacing w:after="60"/>
      </w:pPr>
    </w:p>
    <w:p>
      <w:pPr>
        <w:spacing w:after="120"/>
      </w:pPr>
      <w:r>
        <w:rPr>
          <w:rFonts w:ascii="Arial" w:cs="Arial" w:eastAsia="Arial" w:hAnsi="Arial"/>
          <w:sz w:val="21"/>
          <w:szCs w:val="21"/>
        </w:rPr>
        <w:t xml:space="preserve">The Housing Accountability Act is the legal backbone underlying all California pro-housing legislation. It prohibits cities from denying or reducing the density of housing projects that comply with objective general plan and zoning standards, unless the city makes specific written findings based on a preponderance of the evidence that the project would have a specific, adverse impact on public health or safety.</w:t>
      </w:r>
    </w:p>
    <w:p>
      <w:pPr>
        <w:spacing w:after="120"/>
      </w:pPr>
      <w:r>
        <w:rPr>
          <w:rFonts w:ascii="Arial" w:cs="Arial" w:eastAsia="Arial" w:hAnsi="Arial"/>
          <w:sz w:val="21"/>
          <w:szCs w:val="21"/>
        </w:rPr>
        <w:t xml:space="preserve">SB 330 (2019, extended by SB 8 through 2030) strengthened the HAA by: locking fees at the date of application submittal (preventing retroactive fee increases), prohibiting cities from reducing residential zoning intensity, capping the number of public hearings at 5, prohibiting cities from enacting new residential development moratoriums, and establishing a preliminary application process that vests project rights.</w:t>
      </w:r>
    </w:p>
    <w:p>
      <w:pPr>
        <w:spacing w:after="120"/>
      </w:pPr>
      <w:r>
        <w:rPr>
          <w:rFonts w:ascii="Arial" w:cs="Arial" w:eastAsia="Arial" w:hAnsi="Arial"/>
          <w:sz w:val="21"/>
          <w:szCs w:val="21"/>
        </w:rPr>
        <w:t xml:space="preserve">The HAA is the statute you cite when a city attempts to deny or downzone your project. It creates a legal presumption in favor of housing that complies with objective standards.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7"/>
        </w:numPr>
        <w:spacing w:after="60"/>
      </w:pPr>
      <w:r>
        <w:rPr>
          <w:rFonts w:ascii="Arial" w:cs="Arial" w:eastAsia="Arial" w:hAnsi="Arial"/>
          <w:sz w:val="20"/>
          <w:szCs w:val="20"/>
        </w:rPr>
        <w:t xml:space="preserve">Cities cannot deny or reduce density of code-compliant housing projects without specific written findings of adverse health/safety impact</w:t>
      </w:r>
    </w:p>
    <w:p>
      <w:pPr>
        <w:pStyle w:val="ListParagraph"/>
        <w:numPr>
          <w:ilvl w:val="0"/>
          <w:numId w:val="7"/>
        </w:numPr>
        <w:spacing w:after="60"/>
      </w:pPr>
      <w:r>
        <w:rPr>
          <w:rFonts w:ascii="Arial" w:cs="Arial" w:eastAsia="Arial" w:hAnsi="Arial"/>
          <w:sz w:val="20"/>
          <w:szCs w:val="20"/>
        </w:rPr>
        <w:t xml:space="preserve">Burden of proof is on the city (preponderance of evidence standard)—not the developer</w:t>
      </w:r>
    </w:p>
    <w:p>
      <w:pPr>
        <w:pStyle w:val="ListParagraph"/>
        <w:numPr>
          <w:ilvl w:val="0"/>
          <w:numId w:val="7"/>
        </w:numPr>
        <w:spacing w:after="60"/>
      </w:pPr>
      <w:r>
        <w:rPr>
          <w:rFonts w:ascii="Arial" w:cs="Arial" w:eastAsia="Arial" w:hAnsi="Arial"/>
          <w:sz w:val="20"/>
          <w:szCs w:val="20"/>
        </w:rPr>
        <w:t xml:space="preserve">SB 330: fees locked at preliminary application date; no retroactive increases during entitlement</w:t>
      </w:r>
    </w:p>
    <w:p>
      <w:pPr>
        <w:pStyle w:val="ListParagraph"/>
        <w:numPr>
          <w:ilvl w:val="0"/>
          <w:numId w:val="7"/>
        </w:numPr>
        <w:spacing w:after="60"/>
      </w:pPr>
      <w:r>
        <w:rPr>
          <w:rFonts w:ascii="Arial" w:cs="Arial" w:eastAsia="Arial" w:hAnsi="Arial"/>
          <w:sz w:val="20"/>
          <w:szCs w:val="20"/>
        </w:rPr>
        <w:t xml:space="preserve">SB 330: prohibited reduction of residential zoning intensity; no downzoning or new moratoriums</w:t>
      </w:r>
    </w:p>
    <w:p>
      <w:pPr>
        <w:pStyle w:val="ListParagraph"/>
        <w:numPr>
          <w:ilvl w:val="0"/>
          <w:numId w:val="7"/>
        </w:numPr>
        <w:spacing w:after="60"/>
      </w:pPr>
      <w:r>
        <w:rPr>
          <w:rFonts w:ascii="Arial" w:cs="Arial" w:eastAsia="Arial" w:hAnsi="Arial"/>
          <w:sz w:val="20"/>
          <w:szCs w:val="20"/>
        </w:rPr>
        <w:t xml:space="preserve">SB 330/SB 8: maximum 5 public hearings per project; extended through January 1, 2030</w:t>
      </w:r>
    </w:p>
    <w:p>
      <w:pPr>
        <w:pStyle w:val="ListParagraph"/>
        <w:numPr>
          <w:ilvl w:val="0"/>
          <w:numId w:val="7"/>
        </w:numPr>
        <w:spacing w:after="60"/>
      </w:pPr>
      <w:r>
        <w:rPr>
          <w:rFonts w:ascii="Arial" w:cs="Arial" w:eastAsia="Arial" w:hAnsi="Arial"/>
          <w:sz w:val="20"/>
          <w:szCs w:val="20"/>
        </w:rPr>
        <w:t xml:space="preserve">Preliminary application process vests rights to existing objective standards at time of submittal</w:t>
      </w:r>
    </w:p>
    <w:p>
      <w:pPr>
        <w:pStyle w:val="ListParagraph"/>
        <w:numPr>
          <w:ilvl w:val="0"/>
          <w:numId w:val="7"/>
        </w:numPr>
        <w:spacing w:after="60"/>
      </w:pPr>
      <w:r>
        <w:rPr>
          <w:rFonts w:ascii="Arial" w:cs="Arial" w:eastAsia="Arial" w:hAnsi="Arial"/>
          <w:sz w:val="20"/>
          <w:szCs w:val="20"/>
        </w:rPr>
        <w:t xml:space="preserve">Attorney General can enforce; developers have private right of action with attorney's fees</w:t>
      </w:r>
    </w:p>
    <w:p>
      <w:pPr>
        <w:pStyle w:val="ListParagraph"/>
        <w:numPr>
          <w:ilvl w:val="0"/>
          <w:numId w:val="7"/>
        </w:numPr>
        <w:spacing w:after="60"/>
      </w:pPr>
      <w:r>
        <w:rPr>
          <w:rFonts w:ascii="Arial" w:cs="Arial" w:eastAsia="Arial" w:hAnsi="Arial"/>
          <w:sz w:val="20"/>
          <w:szCs w:val="20"/>
        </w:rPr>
        <w:t xml:space="preserve">AB 1633 (2023): created cause of action under HAA for CEQA determination delays on infill projects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This is your legal shield for every project. When Menlo Park or San Jose pushes back on a code-compliant project, cite §65589.5.</w:t>
            </w:r>
          </w:p>
          <w:p>
            <w:pPr>
              <w:spacing w:after="60"/>
            </w:pPr>
            <w:r>
              <w:rPr>
                <w:rFonts w:ascii="Arial" w:cs="Arial" w:eastAsia="Arial" w:hAnsi="Arial"/>
                <w:color w:val="404040"/>
                <w:sz w:val="20"/>
                <w:szCs w:val="20"/>
              </w:rPr>
              <w:t xml:space="preserve">File preliminary applications early to lock fees and vest rights—even before design is complete. This is strategic, not just procedural.</w:t>
            </w:r>
          </w:p>
          <w:p>
            <w:pPr>
              <w:spacing w:after="60"/>
            </w:pPr>
            <w:r>
              <w:rPr>
                <w:rFonts w:ascii="Arial" w:cs="Arial" w:eastAsia="Arial" w:hAnsi="Arial"/>
                <w:color w:val="404040"/>
                <w:sz w:val="20"/>
                <w:szCs w:val="20"/>
              </w:rPr>
              <w:t xml:space="preserve">SB 330 fee-lock is powerful: if impact fees increase during your 12–18 month entitlement, you’re protected at the original rate.</w:t>
            </w:r>
          </w:p>
          <w:p>
            <w:pPr>
              <w:spacing w:after="60"/>
            </w:pPr>
            <w:r>
              <w:rPr>
                <w:rFonts w:ascii="Arial" w:cs="Arial" w:eastAsia="Arial" w:hAnsi="Arial"/>
                <w:color w:val="404040"/>
                <w:sz w:val="20"/>
                <w:szCs w:val="20"/>
              </w:rPr>
              <w:t xml:space="preserve">Combined with Permit Streamlining Act timelines, creates enforceable schedule that cities must honor.</w:t>
            </w:r>
          </w:p>
          <w:p>
            <w:pPr>
              <w:spacing w:after="60"/>
            </w:pPr>
            <w:r>
              <w:rPr>
                <w:rFonts w:ascii="Arial" w:cs="Arial" w:eastAsia="Arial" w:hAnsi="Arial"/>
                <w:color w:val="404040"/>
                <w:sz w:val="20"/>
                <w:szCs w:val="20"/>
              </w:rPr>
              <w:t xml:space="preserve">AB 1633 is new leverage: if a city delays CEQA determination to stall your infill project, you now have a cause of action.</w:t>
            </w:r>
          </w:p>
        </w:tc>
      </w:tr>
    </w:tbl>
    <w:p>
      <w:pPr>
        <w:spacing w:after="60"/>
      </w:pPr>
    </w:p>
    <w:p>
      <w:pPr>
        <w:spacing w:after="60"/>
      </w:pPr>
    </w:p>
    <w:p>
      <w:pPr>
        <w:pStyle w:val="Heading2"/>
      </w:pPr>
      <w:r>
        <w:t xml:space="preserve">PSA: Permit Streamlining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§65920–65964</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1977; continuously updated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Law — Timeline Enforcement</w:t>
            </w:r>
          </w:p>
        </w:tc>
      </w:tr>
    </w:tbl>
    <w:p>
      <w:pPr>
        <w:spacing w:after="60"/>
      </w:pPr>
    </w:p>
    <w:p>
      <w:pPr>
        <w:spacing w:after="120"/>
      </w:pPr>
      <w:r>
        <w:rPr>
          <w:rFonts w:ascii="Arial" w:cs="Arial" w:eastAsia="Arial" w:hAnsi="Arial"/>
          <w:sz w:val="21"/>
          <w:szCs w:val="21"/>
        </w:rPr>
        <w:t xml:space="preserve">The Permit Streamlining Act imposes mandatory deadlines on local agencies to approve or deny development projects. If the agency misses the deadline, the project is deemed approved. These are hard statutory clocks that protect developers from indefinite plan check delays.</w:t>
      </w:r>
    </w:p>
    <w:p>
      <w:pPr>
        <w:spacing w:after="120"/>
      </w:pPr>
      <w:r>
        <w:rPr>
          <w:rFonts w:ascii="Arial" w:cs="Arial" w:eastAsia="Arial" w:hAnsi="Arial"/>
          <w:sz w:val="21"/>
          <w:szCs w:val="21"/>
        </w:rPr>
        <w:t xml:space="preserve">Timelines: 60 days for ministerial projects, 120 days for projects with Negative Declaration or MND, 180 days for EIR projects. The clock starts when the application is deemed complete. The agency has 30 days to determine completeness (or 30 days after environmental review completion for discretionary projects).</w:t>
      </w:r>
    </w:p>
    <w:p>
      <w:pPr>
        <w:spacing w:after="120"/>
      </w:pPr>
      <w:r>
        <w:rPr>
          <w:rFonts w:ascii="Arial" w:cs="Arial" w:eastAsia="Arial" w:hAnsi="Arial"/>
          <w:sz w:val="21"/>
          <w:szCs w:val="21"/>
        </w:rPr>
        <w:t xml:space="preserve">This is your enforcement mechanism when Menlo Park or San Jose plan check drags. Know the clocks, document the completeness determination date, and assert the deadlines in writing.</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8"/>
        </w:numPr>
        <w:spacing w:after="60"/>
      </w:pPr>
      <w:r>
        <w:rPr>
          <w:rFonts w:ascii="Arial" w:cs="Arial" w:eastAsia="Arial" w:hAnsi="Arial"/>
          <w:sz w:val="20"/>
          <w:szCs w:val="20"/>
        </w:rPr>
        <w:t xml:space="preserve">60 days: ministerial project approval/denial deadline</w:t>
      </w:r>
    </w:p>
    <w:p>
      <w:pPr>
        <w:pStyle w:val="ListParagraph"/>
        <w:numPr>
          <w:ilvl w:val="0"/>
          <w:numId w:val="8"/>
        </w:numPr>
        <w:spacing w:after="60"/>
      </w:pPr>
      <w:r>
        <w:rPr>
          <w:rFonts w:ascii="Arial" w:cs="Arial" w:eastAsia="Arial" w:hAnsi="Arial"/>
          <w:sz w:val="20"/>
          <w:szCs w:val="20"/>
        </w:rPr>
        <w:t xml:space="preserve">120 days: projects with ND/MND approval/denial deadline</w:t>
      </w:r>
    </w:p>
    <w:p>
      <w:pPr>
        <w:pStyle w:val="ListParagraph"/>
        <w:numPr>
          <w:ilvl w:val="0"/>
          <w:numId w:val="8"/>
        </w:numPr>
        <w:spacing w:after="60"/>
      </w:pPr>
      <w:r>
        <w:rPr>
          <w:rFonts w:ascii="Arial" w:cs="Arial" w:eastAsia="Arial" w:hAnsi="Arial"/>
          <w:sz w:val="20"/>
          <w:szCs w:val="20"/>
        </w:rPr>
        <w:t xml:space="preserve">180 days: projects requiring EIR approval/denial deadline</w:t>
      </w:r>
    </w:p>
    <w:p>
      <w:pPr>
        <w:pStyle w:val="ListParagraph"/>
        <w:numPr>
          <w:ilvl w:val="0"/>
          <w:numId w:val="8"/>
        </w:numPr>
        <w:spacing w:after="60"/>
      </w:pPr>
      <w:r>
        <w:rPr>
          <w:rFonts w:ascii="Arial" w:cs="Arial" w:eastAsia="Arial" w:hAnsi="Arial"/>
          <w:sz w:val="20"/>
          <w:szCs w:val="20"/>
        </w:rPr>
        <w:t xml:space="preserve">30-day completeness determination requirement after application submittal</w:t>
      </w:r>
    </w:p>
    <w:p>
      <w:pPr>
        <w:pStyle w:val="ListParagraph"/>
        <w:numPr>
          <w:ilvl w:val="0"/>
          <w:numId w:val="8"/>
        </w:numPr>
        <w:spacing w:after="60"/>
      </w:pPr>
      <w:r>
        <w:rPr>
          <w:rFonts w:ascii="Arial" w:cs="Arial" w:eastAsia="Arial" w:hAnsi="Arial"/>
          <w:sz w:val="20"/>
          <w:szCs w:val="20"/>
        </w:rPr>
        <w:t xml:space="preserve">If agency misses deadline: project deemed approved by operation of law</w:t>
      </w:r>
    </w:p>
    <w:p>
      <w:pPr>
        <w:pStyle w:val="ListParagraph"/>
        <w:numPr>
          <w:ilvl w:val="0"/>
          <w:numId w:val="8"/>
        </w:numPr>
        <w:spacing w:after="60"/>
      </w:pPr>
      <w:r>
        <w:rPr>
          <w:rFonts w:ascii="Arial" w:cs="Arial" w:eastAsia="Arial" w:hAnsi="Arial"/>
          <w:sz w:val="20"/>
          <w:szCs w:val="20"/>
        </w:rPr>
        <w:t xml:space="preserve">Agency must provide written notice of incomplete application within 30 days, listing all deficiencies</w:t>
      </w:r>
    </w:p>
    <w:p>
      <w:pPr>
        <w:pStyle w:val="ListParagraph"/>
        <w:numPr>
          <w:ilvl w:val="0"/>
          <w:numId w:val="8"/>
        </w:numPr>
        <w:spacing w:after="60"/>
      </w:pPr>
      <w:r>
        <w:rPr>
          <w:rFonts w:ascii="Arial" w:cs="Arial" w:eastAsia="Arial" w:hAnsi="Arial"/>
          <w:sz w:val="20"/>
          <w:szCs w:val="20"/>
        </w:rPr>
        <w:t xml:space="preserve">Clock restarts on resubmittal of corrected application (agency gets 30 more days for completeness review)</w:t>
      </w:r>
    </w:p>
    <w:p>
      <w:pPr>
        <w:pStyle w:val="ListParagraph"/>
        <w:numPr>
          <w:ilvl w:val="0"/>
          <w:numId w:val="8"/>
        </w:numPr>
        <w:spacing w:after="60"/>
      </w:pPr>
      <w:r>
        <w:rPr>
          <w:rFonts w:ascii="Arial" w:cs="Arial" w:eastAsia="Arial" w:hAnsi="Arial"/>
          <w:sz w:val="20"/>
          <w:szCs w:val="20"/>
        </w:rPr>
        <w:t xml:space="preserve">AB 2234 (2022): requires local agencies to establish one-stop permitting and post fee schedules/timelines online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Document everything. Note the exact date your application is deemed complete. Track the statutory clock.</w:t>
            </w:r>
          </w:p>
          <w:p>
            <w:pPr>
              <w:spacing w:after="60"/>
            </w:pPr>
            <w:r>
              <w:rPr>
                <w:rFonts w:ascii="Arial" w:cs="Arial" w:eastAsia="Arial" w:hAnsi="Arial"/>
                <w:color w:val="404040"/>
                <w:sz w:val="20"/>
                <w:szCs w:val="20"/>
              </w:rPr>
              <w:t xml:space="preserve">When plan check delays at 595 Morey or future projects drag past timeline, send formal written notice citing §65950 et seq.</w:t>
            </w:r>
          </w:p>
          <w:p>
            <w:pPr>
              <w:spacing w:after="60"/>
            </w:pPr>
            <w:r>
              <w:rPr>
                <w:rFonts w:ascii="Arial" w:cs="Arial" w:eastAsia="Arial" w:hAnsi="Arial"/>
                <w:color w:val="404040"/>
                <w:sz w:val="20"/>
                <w:szCs w:val="20"/>
              </w:rPr>
              <w:t xml:space="preserve">AB 2234 requires posted timelines—if the city’s own posted timeline exceeds statutory limits, you have additional leverage.</w:t>
            </w:r>
          </w:p>
          <w:p>
            <w:pPr>
              <w:spacing w:after="60"/>
            </w:pPr>
            <w:r>
              <w:rPr>
                <w:rFonts w:ascii="Arial" w:cs="Arial" w:eastAsia="Arial" w:hAnsi="Arial"/>
                <w:color w:val="404040"/>
                <w:sz w:val="20"/>
                <w:szCs w:val="20"/>
              </w:rPr>
              <w:t xml:space="preserve">Combined with HAA, creates a two-pronged enforcement: cities can’t deny compliant projects (HAA) and can’t delay them indefinitely (PSA).</w:t>
            </w:r>
          </w:p>
        </w:tc>
      </w:tr>
    </w:tbl>
    <w:p>
      <w:pPr>
        <w:spacing w:after="60"/>
      </w:pPr>
    </w:p>
    <w:p>
      <w:pPr>
        <w:spacing w:after="60"/>
      </w:pPr>
    </w:p>
    <w:p>
      <w:r>
        <w:br w:type="page"/>
      </w:r>
    </w:p>
    <w:p>
      <w:pPr>
        <w:pStyle w:val="Heading1"/>
      </w:pPr>
      <w:r>
        <w:t xml:space="preserve">ADU &amp; Small Unit Laws</w:t>
      </w:r>
    </w:p>
    <w:p>
      <w:pPr>
        <w:spacing w:after="60"/>
      </w:pPr>
    </w:p>
    <w:p>
      <w:pPr>
        <w:pStyle w:val="Heading2"/>
      </w:pPr>
      <w:r>
        <w:t xml:space="preserve">AB 68/SB 13/AB 881: 2020 ADU Reform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§65852.2 (as amended)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2020 (continuously updated through 2024)</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 owner-occupancy prohibition made permanent by AB 976)</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ADU — Core Framework</w:t>
            </w:r>
          </w:p>
        </w:tc>
      </w:tr>
    </w:tbl>
    <w:p>
      <w:pPr>
        <w:spacing w:after="60"/>
      </w:pPr>
    </w:p>
    <w:p>
      <w:pPr>
        <w:spacing w:after="120"/>
      </w:pPr>
      <w:r>
        <w:rPr>
          <w:rFonts w:ascii="Arial" w:cs="Arial" w:eastAsia="Arial" w:hAnsi="Arial"/>
          <w:sz w:val="21"/>
          <w:szCs w:val="21"/>
        </w:rPr>
        <w:t xml:space="preserve">The 2020 ADU reform package eliminated most local barriers to accessory dwelling unit construction, establishing the modern framework under which SVDen builds ADUs. Key provisions: no owner-occupancy requirement (made permanent by AB 976 in 2024), reduced setbacks (4 ft rear/side for detached ADU), no parking within 0.5 miles of transit, ministerial approval required within 60 days.</w:t>
      </w:r>
    </w:p>
    <w:p>
      <w:pPr>
        <w:spacing w:after="120"/>
      </w:pPr>
      <w:r>
        <w:rPr>
          <w:rFonts w:ascii="Arial" w:cs="Arial" w:eastAsia="Arial" w:hAnsi="Arial"/>
          <w:sz w:val="21"/>
          <w:szCs w:val="21"/>
        </w:rPr>
        <w:t xml:space="preserve">Subsequent amendments have continued expanding ADU rights: AB 2221 (2023) required 60-day processing for all agencies including utilities; AB 434 (2024) required pre-approved ADU plan schemes by January 2025; SB 897 allowed 18 ft height in some cases; SB 1211 increased max detached ADUs on multifamily lots to 8.</w:t>
      </w:r>
    </w:p>
    <w:p>
      <w:pPr>
        <w:spacing w:after="120"/>
      </w:pPr>
      <w:r>
        <w:rPr>
          <w:rFonts w:ascii="Arial" w:cs="Arial" w:eastAsia="Arial" w:hAnsi="Arial"/>
          <w:sz w:val="21"/>
          <w:szCs w:val="21"/>
        </w:rPr>
        <w:t xml:space="preserve">AB 2533 (2025) addresses unpermitted ADUs built before January 1, 2020, requiring cities to allow permitting if health/safety codes are met, without penalties or impact fees.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9"/>
        </w:numPr>
        <w:spacing w:after="60"/>
      </w:pPr>
      <w:r>
        <w:rPr>
          <w:rFonts w:ascii="Arial" w:cs="Arial" w:eastAsia="Arial" w:hAnsi="Arial"/>
          <w:sz w:val="20"/>
          <w:szCs w:val="20"/>
        </w:rPr>
        <w:t xml:space="preserve">No owner-occupancy requirement (permanent per AB 976, 2024)</w:t>
      </w:r>
    </w:p>
    <w:p>
      <w:pPr>
        <w:pStyle w:val="ListParagraph"/>
        <w:numPr>
          <w:ilvl w:val="0"/>
          <w:numId w:val="9"/>
        </w:numPr>
        <w:spacing w:after="60"/>
      </w:pPr>
      <w:r>
        <w:rPr>
          <w:rFonts w:ascii="Arial" w:cs="Arial" w:eastAsia="Arial" w:hAnsi="Arial"/>
          <w:sz w:val="20"/>
          <w:szCs w:val="20"/>
        </w:rPr>
        <w:t xml:space="preserve">Ministerial approval within 60 days; all reviewing agencies bound to same timeline (AB 2221)</w:t>
      </w:r>
    </w:p>
    <w:p>
      <w:pPr>
        <w:pStyle w:val="ListParagraph"/>
        <w:numPr>
          <w:ilvl w:val="0"/>
          <w:numId w:val="9"/>
        </w:numPr>
        <w:spacing w:after="60"/>
      </w:pPr>
      <w:r>
        <w:rPr>
          <w:rFonts w:ascii="Arial" w:cs="Arial" w:eastAsia="Arial" w:hAnsi="Arial"/>
          <w:sz w:val="20"/>
          <w:szCs w:val="20"/>
        </w:rPr>
        <w:t xml:space="preserve">4 ft rear/side setbacks for detached ADUs; no front setback requirement for conversion</w:t>
      </w:r>
    </w:p>
    <w:p>
      <w:pPr>
        <w:pStyle w:val="ListParagraph"/>
        <w:numPr>
          <w:ilvl w:val="0"/>
          <w:numId w:val="9"/>
        </w:numPr>
        <w:spacing w:after="60"/>
      </w:pPr>
      <w:r>
        <w:rPr>
          <w:rFonts w:ascii="Arial" w:cs="Arial" w:eastAsia="Arial" w:hAnsi="Arial"/>
          <w:sz w:val="20"/>
          <w:szCs w:val="20"/>
        </w:rPr>
        <w:t xml:space="preserve">No parking required within 0.5 miles of transit or historic district</w:t>
      </w:r>
    </w:p>
    <w:p>
      <w:pPr>
        <w:pStyle w:val="ListParagraph"/>
        <w:numPr>
          <w:ilvl w:val="0"/>
          <w:numId w:val="9"/>
        </w:numPr>
        <w:spacing w:after="60"/>
      </w:pPr>
      <w:r>
        <w:rPr>
          <w:rFonts w:ascii="Arial" w:cs="Arial" w:eastAsia="Arial" w:hAnsi="Arial"/>
          <w:sz w:val="20"/>
          <w:szCs w:val="20"/>
        </w:rPr>
        <w:t xml:space="preserve">Maximum 1,200 SF detached; 850 SF studio/1BR attached; 1,000 SF 2+BR attached (state minimums)</w:t>
      </w:r>
    </w:p>
    <w:p>
      <w:pPr>
        <w:pStyle w:val="ListParagraph"/>
        <w:numPr>
          <w:ilvl w:val="0"/>
          <w:numId w:val="9"/>
        </w:numPr>
        <w:spacing w:after="60"/>
      </w:pPr>
      <w:r>
        <w:rPr>
          <w:rFonts w:ascii="Arial" w:cs="Arial" w:eastAsia="Arial" w:hAnsi="Arial"/>
          <w:sz w:val="20"/>
          <w:szCs w:val="20"/>
        </w:rPr>
        <w:t xml:space="preserve">Pre-approved ADU plan schemes required by January 2025 (AB 434)</w:t>
      </w:r>
    </w:p>
    <w:p>
      <w:pPr>
        <w:pStyle w:val="ListParagraph"/>
        <w:numPr>
          <w:ilvl w:val="0"/>
          <w:numId w:val="9"/>
        </w:numPr>
        <w:spacing w:after="60"/>
      </w:pPr>
      <w:r>
        <w:rPr>
          <w:rFonts w:ascii="Arial" w:cs="Arial" w:eastAsia="Arial" w:hAnsi="Arial"/>
          <w:sz w:val="20"/>
          <w:szCs w:val="20"/>
        </w:rPr>
        <w:t xml:space="preserve">18 ft height allowed near transit or on multifamily properties (SB 897)</w:t>
      </w:r>
    </w:p>
    <w:p>
      <w:pPr>
        <w:pStyle w:val="ListParagraph"/>
        <w:numPr>
          <w:ilvl w:val="0"/>
          <w:numId w:val="9"/>
        </w:numPr>
        <w:spacing w:after="60"/>
      </w:pPr>
      <w:r>
        <w:rPr>
          <w:rFonts w:ascii="Arial" w:cs="Arial" w:eastAsia="Arial" w:hAnsi="Arial"/>
          <w:sz w:val="20"/>
          <w:szCs w:val="20"/>
        </w:rPr>
        <w:t xml:space="preserve">Up to 8 detached ADUs on multifamily lots (SB 1211); unpermitted ADU legalization pathway (AB 2533)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These are the rules governing your 1378 Longfellow ADU. Know them cold—especially when a planner cites a local ordinance that conflicts with state law.</w:t>
            </w:r>
          </w:p>
          <w:p>
            <w:pPr>
              <w:spacing w:after="60"/>
            </w:pPr>
            <w:r>
              <w:rPr>
                <w:rFonts w:ascii="Arial" w:cs="Arial" w:eastAsia="Arial" w:hAnsi="Arial"/>
                <w:color w:val="404040"/>
                <w:sz w:val="20"/>
                <w:szCs w:val="20"/>
              </w:rPr>
              <w:t xml:space="preserve">State law controls where local ordinance is more restrictive. If San Jose planning tries to impose additional conditions, cite §65852.2 preemption.</w:t>
            </w:r>
          </w:p>
          <w:p>
            <w:pPr>
              <w:spacing w:after="60"/>
            </w:pPr>
            <w:r>
              <w:rPr>
                <w:rFonts w:ascii="Arial" w:cs="Arial" w:eastAsia="Arial" w:hAnsi="Arial"/>
                <w:color w:val="404040"/>
                <w:sz w:val="20"/>
                <w:szCs w:val="20"/>
              </w:rPr>
              <w:t xml:space="preserve">AB 1033 condo conversion + AB 976 permanent no-owner-occupancy = can build ADU, rent it, then sell it as condo. Maximum flexibility.</w:t>
            </w:r>
          </w:p>
          <w:p>
            <w:pPr>
              <w:spacing w:after="60"/>
            </w:pPr>
            <w:r>
              <w:rPr>
                <w:rFonts w:ascii="Arial" w:cs="Arial" w:eastAsia="Arial" w:hAnsi="Arial"/>
                <w:color w:val="404040"/>
                <w:sz w:val="20"/>
                <w:szCs w:val="20"/>
              </w:rPr>
              <w:t xml:space="preserve">Pre-approved plan schemes (AB 434) create opportunity: could SVDen submit standardized ADU designs with Nobilia kitchens for city pre-approval? Becomes marketing pipeline.</w:t>
            </w:r>
          </w:p>
        </w:tc>
      </w:tr>
    </w:tbl>
    <w:p>
      <w:pPr>
        <w:spacing w:after="60"/>
      </w:pPr>
    </w:p>
    <w:p>
      <w:pPr>
        <w:spacing w:after="60"/>
      </w:pPr>
    </w:p>
    <w:p>
      <w:r>
        <w:br w:type="page"/>
      </w:r>
    </w:p>
    <w:p>
      <w:pPr>
        <w:pStyle w:val="Heading1"/>
      </w:pPr>
      <w:r>
        <w:t xml:space="preserve">Building Code &amp; Wildfire</w:t>
      </w:r>
    </w:p>
    <w:p>
      <w:pPr>
        <w:spacing w:after="60"/>
      </w:pPr>
    </w:p>
    <w:p>
      <w:pPr>
        <w:pStyle w:val="Heading2"/>
      </w:pPr>
      <w:r>
        <w:t xml:space="preserve">2025 Title 24: Building Energy Efficiency Standards (Energy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24, Part 6 (Energy); Part 11 (CALGreen)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2026 (permit applications filed on/after this date)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Until 2028 code cycle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Code — Energy &amp; Sustainability</w:t>
            </w:r>
          </w:p>
        </w:tc>
      </w:tr>
    </w:tbl>
    <w:p>
      <w:pPr>
        <w:spacing w:after="60"/>
      </w:pPr>
    </w:p>
    <w:p>
      <w:pPr>
        <w:spacing w:after="120"/>
      </w:pPr>
      <w:r>
        <w:rPr>
          <w:rFonts w:ascii="Arial" w:cs="Arial" w:eastAsia="Arial" w:hAnsi="Arial"/>
          <w:sz w:val="21"/>
          <w:szCs w:val="21"/>
        </w:rPr>
        <w:t xml:space="preserve">The 2025 Title 24 energy code, effective January 1, 2026, represents a major shift toward building electrification. The code strongly encourages heat pump systems for space heating and water heating through energy budgets that make gas systems harder to comply with prescriptively. New buildings with PV systems must now include battery energy storage systems (BESS).</w:t>
      </w:r>
    </w:p>
    <w:p>
      <w:pPr>
        <w:spacing w:after="120"/>
      </w:pPr>
      <w:r>
        <w:rPr>
          <w:rFonts w:ascii="Arial" w:cs="Arial" w:eastAsia="Arial" w:hAnsi="Arial"/>
          <w:sz w:val="21"/>
          <w:szCs w:val="21"/>
        </w:rPr>
        <w:t xml:space="preserve">For residential construction: expanded heat pump requirements (prescriptive baseline is now heat pump for space heating and cooling), improved wall and window U-factor requirements, heat pump water heater ventilation standards, and electric-ready requirements for future conversion. Gas-only pool/spa heaters are no longer code-compliant for new construction.</w:t>
      </w:r>
    </w:p>
    <w:p>
      <w:pPr>
        <w:spacing w:after="120"/>
      </w:pPr>
      <w:r>
        <w:rPr>
          <w:rFonts w:ascii="Arial" w:cs="Arial" w:eastAsia="Arial" w:hAnsi="Arial"/>
          <w:sz w:val="21"/>
          <w:szCs w:val="21"/>
        </w:rPr>
        <w:t xml:space="preserve">Executive Order N-29-25 temporarily suspends 2025 solar and battery storage requirements for LA wildfire rebuild projects, but fire-rebuild projects must still meet all other 2025 code provisions. The code is estimated to save $4.8 billion in energy costs over its 30-year lifetime.</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10"/>
        </w:numPr>
        <w:spacing w:after="60"/>
      </w:pPr>
      <w:r>
        <w:rPr>
          <w:rFonts w:ascii="Arial" w:cs="Arial" w:eastAsia="Arial" w:hAnsi="Arial"/>
          <w:sz w:val="20"/>
          <w:szCs w:val="20"/>
        </w:rPr>
        <w:t xml:space="preserve">Heat pump baseline for residential space heating/cooling in energy budgets—gas systems require additional efficiency measures to comply</w:t>
      </w:r>
    </w:p>
    <w:p>
      <w:pPr>
        <w:pStyle w:val="ListParagraph"/>
        <w:numPr>
          <w:ilvl w:val="0"/>
          <w:numId w:val="10"/>
        </w:numPr>
        <w:spacing w:after="60"/>
      </w:pPr>
      <w:r>
        <w:rPr>
          <w:rFonts w:ascii="Arial" w:cs="Arial" w:eastAsia="Arial" w:hAnsi="Arial"/>
          <w:sz w:val="20"/>
          <w:szCs w:val="20"/>
        </w:rPr>
        <w:t xml:space="preserve">Heat pump water heaters encouraged through prescriptive pathways; ventilation requirements for HPWH installations</w:t>
      </w:r>
    </w:p>
    <w:p>
      <w:pPr>
        <w:pStyle w:val="ListParagraph"/>
        <w:numPr>
          <w:ilvl w:val="0"/>
          <w:numId w:val="10"/>
        </w:numPr>
        <w:spacing w:after="60"/>
      </w:pPr>
      <w:r>
        <w:rPr>
          <w:rFonts w:ascii="Arial" w:cs="Arial" w:eastAsia="Arial" w:hAnsi="Arial"/>
          <w:sz w:val="20"/>
          <w:szCs w:val="20"/>
        </w:rPr>
        <w:t xml:space="preserve">Battery energy storage systems (BESS) required for new buildings with PV systems</w:t>
      </w:r>
    </w:p>
    <w:p>
      <w:pPr>
        <w:pStyle w:val="ListParagraph"/>
        <w:numPr>
          <w:ilvl w:val="0"/>
          <w:numId w:val="10"/>
        </w:numPr>
        <w:spacing w:after="60"/>
      </w:pPr>
      <w:r>
        <w:rPr>
          <w:rFonts w:ascii="Arial" w:cs="Arial" w:eastAsia="Arial" w:hAnsi="Arial"/>
          <w:sz w:val="20"/>
          <w:szCs w:val="20"/>
        </w:rPr>
        <w:t xml:space="preserve">Improved envelope requirements: lower U-factors for walls, windows; higher-performance framing</w:t>
      </w:r>
    </w:p>
    <w:p>
      <w:pPr>
        <w:pStyle w:val="ListParagraph"/>
        <w:numPr>
          <w:ilvl w:val="0"/>
          <w:numId w:val="10"/>
        </w:numPr>
        <w:spacing w:after="60"/>
      </w:pPr>
      <w:r>
        <w:rPr>
          <w:rFonts w:ascii="Arial" w:cs="Arial" w:eastAsia="Arial" w:hAnsi="Arial"/>
          <w:sz w:val="20"/>
          <w:szCs w:val="20"/>
        </w:rPr>
        <w:t xml:space="preserve">Commercial kitchens: electric-ready requirements for future gas-to-electric conversion</w:t>
      </w:r>
    </w:p>
    <w:p>
      <w:pPr>
        <w:pStyle w:val="ListParagraph"/>
        <w:numPr>
          <w:ilvl w:val="0"/>
          <w:numId w:val="10"/>
        </w:numPr>
        <w:spacing w:after="60"/>
      </w:pPr>
      <w:r>
        <w:rPr>
          <w:rFonts w:ascii="Arial" w:cs="Arial" w:eastAsia="Arial" w:hAnsi="Arial"/>
          <w:sz w:val="20"/>
          <w:szCs w:val="20"/>
        </w:rPr>
        <w:t xml:space="preserve">Gas-only pool/spa heaters no longer code-compliant for new construction</w:t>
      </w:r>
    </w:p>
    <w:p>
      <w:pPr>
        <w:pStyle w:val="ListParagraph"/>
        <w:numPr>
          <w:ilvl w:val="0"/>
          <w:numId w:val="10"/>
        </w:numPr>
        <w:spacing w:after="60"/>
      </w:pPr>
      <w:r>
        <w:rPr>
          <w:rFonts w:ascii="Arial" w:cs="Arial" w:eastAsia="Arial" w:hAnsi="Arial"/>
          <w:sz w:val="20"/>
          <w:szCs w:val="20"/>
        </w:rPr>
        <w:t xml:space="preserve">EV charging infrastructure mandated for new residential construction</w:t>
      </w:r>
    </w:p>
    <w:p>
      <w:pPr>
        <w:pStyle w:val="ListParagraph"/>
        <w:numPr>
          <w:ilvl w:val="0"/>
          <w:numId w:val="10"/>
        </w:numPr>
        <w:spacing w:after="60"/>
      </w:pPr>
      <w:r>
        <w:rPr>
          <w:rFonts w:ascii="Arial" w:cs="Arial" w:eastAsia="Arial" w:hAnsi="Arial"/>
          <w:sz w:val="20"/>
          <w:szCs w:val="20"/>
        </w:rPr>
        <w:t xml:space="preserve">Wildfire rebuild projects: solar/BESS requirements temporarily suspended (EO N-29-25), all other 2025 provisions apply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Every project going to permit after January 1, 2026 must comply. Design heat pump systems now—don’t wait until plan check.</w:t>
            </w:r>
          </w:p>
          <w:p>
            <w:pPr>
              <w:spacing w:after="60"/>
            </w:pPr>
            <w:r>
              <w:rPr>
                <w:rFonts w:ascii="Arial" w:cs="Arial" w:eastAsia="Arial" w:hAnsi="Arial"/>
                <w:color w:val="404040"/>
                <w:sz w:val="20"/>
                <w:szCs w:val="20"/>
              </w:rPr>
              <w:t xml:space="preserve">CFS wall systems need to meet tighter U-factor requirements. Verify insulation details with your CFS panel suppliers (including Livio if evaluating).</w:t>
            </w:r>
          </w:p>
          <w:p>
            <w:pPr>
              <w:spacing w:after="60"/>
            </w:pPr>
            <w:r>
              <w:rPr>
                <w:rFonts w:ascii="Arial" w:cs="Arial" w:eastAsia="Arial" w:hAnsi="Arial"/>
                <w:color w:val="404040"/>
                <w:sz w:val="20"/>
                <w:szCs w:val="20"/>
              </w:rPr>
              <w:t xml:space="preserve">ICF construction (like Morey Drive basement) provides excellent thermal performance—may exceed 2025 envelope requirements, creating compliance margin for other building systems.</w:t>
            </w:r>
          </w:p>
          <w:p>
            <w:pPr>
              <w:spacing w:after="60"/>
            </w:pPr>
            <w:r>
              <w:rPr>
                <w:rFonts w:ascii="Arial" w:cs="Arial" w:eastAsia="Arial" w:hAnsi="Arial"/>
                <w:color w:val="404040"/>
                <w:sz w:val="20"/>
                <w:szCs w:val="20"/>
              </w:rPr>
              <w:t xml:space="preserve">Battery storage requirement adds $8K–$15K per home. Factor into pro formas for all projects permitting after 1/1/2026.</w:t>
            </w:r>
          </w:p>
          <w:p>
            <w:pPr>
              <w:spacing w:after="60"/>
            </w:pPr>
            <w:r>
              <w:rPr>
                <w:rFonts w:ascii="Arial" w:cs="Arial" w:eastAsia="Arial" w:hAnsi="Arial"/>
                <w:color w:val="404040"/>
                <w:sz w:val="20"/>
                <w:szCs w:val="20"/>
              </w:rPr>
              <w:t xml:space="preserve">Electric-ready requirements affect MEP design. Nobilia kitchen specifications should be coordinated with electric cooking appliance packages.</w:t>
            </w:r>
          </w:p>
          <w:p>
            <w:pPr>
              <w:spacing w:after="60"/>
            </w:pPr>
            <w:r>
              <w:rPr>
                <w:rFonts w:ascii="Arial" w:cs="Arial" w:eastAsia="Arial" w:hAnsi="Arial"/>
                <w:color w:val="404040"/>
                <w:sz w:val="20"/>
                <w:szCs w:val="20"/>
              </w:rPr>
              <w:t xml:space="preserve">For Pacific Palisades/wildfire market: solar/BESS suspension is temporary. Design for full compliance anyway—it’s a selling point for fire-rebuild clients.</w:t>
            </w:r>
          </w:p>
        </w:tc>
      </w:tr>
    </w:tbl>
    <w:p>
      <w:pPr>
        <w:spacing w:after="60"/>
      </w:pPr>
    </w:p>
    <w:p>
      <w:pPr>
        <w:spacing w:after="60"/>
      </w:pPr>
    </w:p>
    <w:p>
      <w:pPr>
        <w:pStyle w:val="Heading2"/>
      </w:pPr>
      <w:r>
        <w:t xml:space="preserve">Chapter 7A CBC: WUI Fire-Hardening Building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California Building Code Chapter 7A; Gov. Code §51175–51189</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Continuously updated; latest maps updated 2024–2025</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 maps updated periodically by CAL FIRE)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Code — Wildfire Resilience</w:t>
            </w:r>
          </w:p>
        </w:tc>
      </w:tr>
    </w:tbl>
    <w:p>
      <w:pPr>
        <w:spacing w:after="60"/>
      </w:pPr>
    </w:p>
    <w:p>
      <w:pPr>
        <w:spacing w:after="120"/>
      </w:pPr>
      <w:r>
        <w:rPr>
          <w:rFonts w:ascii="Arial" w:cs="Arial" w:eastAsia="Arial" w:hAnsi="Arial"/>
          <w:sz w:val="21"/>
          <w:szCs w:val="21"/>
        </w:rPr>
        <w:t xml:space="preserve">Chapter 7A of the California Building Code establishes fire-hardening requirements for all new construction and substantial remodels in Wildland-Urban Interface (WUI) fire hazard zones. Requirements include Class A fire-rated roofing, ember-resistant vents, tempered/multi-pane exterior glazing, non-combustible or ignition-resistant exterior wall assemblies, and defensible space compliance.</w:t>
      </w:r>
    </w:p>
    <w:p>
      <w:pPr>
        <w:spacing w:after="120"/>
      </w:pPr>
      <w:r>
        <w:rPr>
          <w:rFonts w:ascii="Arial" w:cs="Arial" w:eastAsia="Arial" w:hAnsi="Arial"/>
          <w:sz w:val="21"/>
          <w:szCs w:val="21"/>
        </w:rPr>
        <w:t xml:space="preserve">AB 1409 and SB 55 restrict new housing in Very High Fire Hazard Severity Zones (VHFHSZ) unless fire-hardening and evacuation standards are met. CAL FIRE updated fire hazard severity zone maps in 2024–2025, reclassifying many areas—check current maps for any project site.</w:t>
      </w:r>
    </w:p>
    <w:p>
      <w:pPr>
        <w:spacing w:after="120"/>
      </w:pPr>
      <w:r>
        <w:rPr>
          <w:rFonts w:ascii="Arial" w:cs="Arial" w:eastAsia="Arial" w:hAnsi="Arial"/>
          <w:sz w:val="21"/>
          <w:szCs w:val="21"/>
        </w:rPr>
        <w:t xml:space="preserve">SVDen’s CFS and ICF construction systems inherently exceed many Chapter 7A requirements: steel framing is non-combustible, ICF walls provide fire resistance far exceeding code minimums, and CFS panels can be designed with integrated fire-rated assemblies. This is a significant competitive advantage in the growing fire-rebuild market.</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11"/>
        </w:numPr>
        <w:spacing w:after="60"/>
      </w:pPr>
      <w:r>
        <w:rPr>
          <w:rFonts w:ascii="Arial" w:cs="Arial" w:eastAsia="Arial" w:hAnsi="Arial"/>
          <w:sz w:val="20"/>
          <w:szCs w:val="20"/>
        </w:rPr>
        <w:t xml:space="preserve">Class A fire-rated roof assemblies required in all WUI zones</w:t>
      </w:r>
    </w:p>
    <w:p>
      <w:pPr>
        <w:pStyle w:val="ListParagraph"/>
        <w:numPr>
          <w:ilvl w:val="0"/>
          <w:numId w:val="11"/>
        </w:numPr>
        <w:spacing w:after="60"/>
      </w:pPr>
      <w:r>
        <w:rPr>
          <w:rFonts w:ascii="Arial" w:cs="Arial" w:eastAsia="Arial" w:hAnsi="Arial"/>
          <w:sz w:val="20"/>
          <w:szCs w:val="20"/>
        </w:rPr>
        <w:t xml:space="preserve">Ember-resistant vents (meets ASTM E2886) required for attic, crawl space, and all other venting</w:t>
      </w:r>
    </w:p>
    <w:p>
      <w:pPr>
        <w:pStyle w:val="ListParagraph"/>
        <w:numPr>
          <w:ilvl w:val="0"/>
          <w:numId w:val="11"/>
        </w:numPr>
        <w:spacing w:after="60"/>
      </w:pPr>
      <w:r>
        <w:rPr>
          <w:rFonts w:ascii="Arial" w:cs="Arial" w:eastAsia="Arial" w:hAnsi="Arial"/>
          <w:sz w:val="20"/>
          <w:szCs w:val="20"/>
        </w:rPr>
        <w:t xml:space="preserve">Tempered glass or multi-pane glazing required for exterior windows and doors</w:t>
      </w:r>
    </w:p>
    <w:p>
      <w:pPr>
        <w:pStyle w:val="ListParagraph"/>
        <w:numPr>
          <w:ilvl w:val="0"/>
          <w:numId w:val="11"/>
        </w:numPr>
        <w:spacing w:after="60"/>
      </w:pPr>
      <w:r>
        <w:rPr>
          <w:rFonts w:ascii="Arial" w:cs="Arial" w:eastAsia="Arial" w:hAnsi="Arial"/>
          <w:sz w:val="20"/>
          <w:szCs w:val="20"/>
        </w:rPr>
        <w:t xml:space="preserve">Non-combustible or ignition-resistant exterior wall assemblies (1-hour fire rating for some zones)</w:t>
      </w:r>
    </w:p>
    <w:p>
      <w:pPr>
        <w:pStyle w:val="ListParagraph"/>
        <w:numPr>
          <w:ilvl w:val="0"/>
          <w:numId w:val="11"/>
        </w:numPr>
        <w:spacing w:after="60"/>
      </w:pPr>
      <w:r>
        <w:rPr>
          <w:rFonts w:ascii="Arial" w:cs="Arial" w:eastAsia="Arial" w:hAnsi="Arial"/>
          <w:sz w:val="20"/>
          <w:szCs w:val="20"/>
        </w:rPr>
        <w:t xml:space="preserve">Defensible space: Zone 0 (0–5 ft ember-resistant), Zone 1 (5–30 ft lean/clean), Zone 2 (30–100 ft reduce fuel)</w:t>
      </w:r>
    </w:p>
    <w:p>
      <w:pPr>
        <w:pStyle w:val="ListParagraph"/>
        <w:numPr>
          <w:ilvl w:val="0"/>
          <w:numId w:val="11"/>
        </w:numPr>
        <w:spacing w:after="60"/>
      </w:pPr>
      <w:r>
        <w:rPr>
          <w:rFonts w:ascii="Arial" w:cs="Arial" w:eastAsia="Arial" w:hAnsi="Arial"/>
          <w:sz w:val="20"/>
          <w:szCs w:val="20"/>
        </w:rPr>
        <w:t xml:space="preserve">Under-eave and soffit protection requirements; non-combustible rain gutters</w:t>
      </w:r>
    </w:p>
    <w:p>
      <w:pPr>
        <w:pStyle w:val="ListParagraph"/>
        <w:numPr>
          <w:ilvl w:val="0"/>
          <w:numId w:val="11"/>
        </w:numPr>
        <w:spacing w:after="60"/>
      </w:pPr>
      <w:r>
        <w:rPr>
          <w:rFonts w:ascii="Arial" w:cs="Arial" w:eastAsia="Arial" w:hAnsi="Arial"/>
          <w:sz w:val="20"/>
          <w:szCs w:val="20"/>
        </w:rPr>
        <w:t xml:space="preserve">AB 1409/SB 55: additional restrictions on new development in VHFHSZ unless fire/evacuation standards met</w:t>
      </w:r>
    </w:p>
    <w:p>
      <w:pPr>
        <w:pStyle w:val="ListParagraph"/>
        <w:numPr>
          <w:ilvl w:val="0"/>
          <w:numId w:val="11"/>
        </w:numPr>
        <w:spacing w:after="60"/>
      </w:pPr>
      <w:r>
        <w:rPr>
          <w:rFonts w:ascii="Arial" w:cs="Arial" w:eastAsia="Arial" w:hAnsi="Arial"/>
          <w:sz w:val="20"/>
          <w:szCs w:val="20"/>
        </w:rPr>
        <w:t xml:space="preserve">CAL FIRE FHSZ maps updated 2024–2025—verify current designation for every project site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CFS framing = non-combustible. ICF = 4-hour+ fire rating. SVDen’s construction systems inherently exceed Chapter 7A—market this aggressively in fire zones.</w:t>
            </w:r>
          </w:p>
          <w:p>
            <w:pPr>
              <w:spacing w:after="60"/>
            </w:pPr>
            <w:r>
              <w:rPr>
                <w:rFonts w:ascii="Arial" w:cs="Arial" w:eastAsia="Arial" w:hAnsi="Arial"/>
                <w:color w:val="404040"/>
                <w:sz w:val="20"/>
                <w:szCs w:val="20"/>
              </w:rPr>
              <w:t xml:space="preserve">Pacific Palisades/LA fire-rebuild market: TJH is there with wood-frame conventional. SVDen can differentiate with steel/ICF systems that provide genuine fire resilience, not just code compliance.</w:t>
            </w:r>
          </w:p>
          <w:p>
            <w:pPr>
              <w:spacing w:after="60"/>
            </w:pPr>
            <w:r>
              <w:rPr>
                <w:rFonts w:ascii="Arial" w:cs="Arial" w:eastAsia="Arial" w:hAnsi="Arial"/>
                <w:color w:val="404040"/>
                <w:sz w:val="20"/>
                <w:szCs w:val="20"/>
              </w:rPr>
              <w:t xml:space="preserve">Check updated CAL FIRE FHSZ maps for every project site—reclassifications in 2024–2025 may have changed requirements for sites previously outside WUI zones.</w:t>
            </w:r>
          </w:p>
          <w:p>
            <w:pPr>
              <w:spacing w:after="60"/>
            </w:pPr>
            <w:r>
              <w:rPr>
                <w:rFonts w:ascii="Arial" w:cs="Arial" w:eastAsia="Arial" w:hAnsi="Arial"/>
                <w:color w:val="404040"/>
                <w:sz w:val="20"/>
                <w:szCs w:val="20"/>
              </w:rPr>
              <w:t xml:space="preserve">Fire-hardening upgrades for existing homes entering fire zones: potential service offering for SVDen beyond new construction.</w:t>
            </w:r>
          </w:p>
        </w:tc>
      </w:tr>
    </w:tbl>
    <w:p>
      <w:pPr>
        <w:spacing w:after="60"/>
      </w:pPr>
    </w:p>
    <w:p>
      <w:pPr>
        <w:spacing w:after="60"/>
      </w:pPr>
    </w:p>
    <w:p>
      <w:r>
        <w:br w:type="page"/>
      </w:r>
    </w:p>
    <w:p>
      <w:pPr>
        <w:pStyle w:val="Heading1"/>
      </w:pPr>
      <w:r>
        <w:t xml:space="preserve">Financial &amp; Fee Laws</w:t>
      </w:r>
    </w:p>
    <w:p>
      <w:pPr>
        <w:spacing w:after="60"/>
      </w:pPr>
    </w:p>
    <w:p>
      <w:pPr>
        <w:pStyle w:val="Heading2"/>
      </w:pPr>
      <w:r>
        <w:t xml:space="preserve">AB 602 / AB 1483: Impact Fee Transparency &amp; Nexus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 Code §66000+ (Mitigation Fee Act); §65940.1 (AB 1483)</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602: January 1, 2022; AB 1483: January 1, 2020</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Sunset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(permanent)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65D"/>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 Fee Accountability</w:t>
            </w:r>
          </w:p>
        </w:tc>
      </w:tr>
    </w:tbl>
    <w:p>
      <w:pPr>
        <w:spacing w:after="60"/>
      </w:pPr>
    </w:p>
    <w:p>
      <w:pPr>
        <w:spacing w:after="120"/>
      </w:pPr>
      <w:r>
        <w:rPr>
          <w:rFonts w:ascii="Arial" w:cs="Arial" w:eastAsia="Arial" w:hAnsi="Arial"/>
          <w:sz w:val="21"/>
          <w:szCs w:val="21"/>
        </w:rPr>
        <w:t xml:space="preserve">AB 602 requires local agencies to conduct and publicly disclose nexus studies justifying the relationship between impact fees and the actual cost of infrastructure needed to serve new development. Cities cannot charge fees that exceed what the nexus study supports. AB 1483 requires agencies to post all fee schedules, processing timelines, and application requirements online, with annual reports on fees collected and expended.</w:t>
      </w:r>
    </w:p>
    <w:p>
      <w:pPr>
        <w:spacing w:after="120"/>
      </w:pPr>
      <w:r>
        <w:rPr>
          <w:rFonts w:ascii="Arial" w:cs="Arial" w:eastAsia="Arial" w:hAnsi="Arial"/>
          <w:sz w:val="21"/>
          <w:szCs w:val="21"/>
        </w:rPr>
        <w:t xml:space="preserve">These laws provide the tools to challenge excessive fees. When Menlo Park’s fee stack seems unreasonable, demand the nexus study. If fees exceed nexus-study-supported levels, challenge them under the Mitigation Fee Act. The Nollan-Dolan nexus and rough proportionality tests (from U.S. Supreme Court precedent) further constrain cities’ ability to impose exactions without demonstrated connection to project impacts.</w:t>
      </w:r>
    </w:p>
    <w:p>
      <w:pPr>
        <w:spacing w:after="60"/>
      </w:pPr>
    </w:p>
    <w:p>
      <w:pPr>
        <w:spacing w:after="80"/>
      </w:pPr>
      <w:r>
        <w:rPr>
          <w:rFonts w:ascii="Arial" w:cs="Arial" w:eastAsia="Arial" w:hAnsi="Arial"/>
          <w:b/>
          <w:bCs/>
          <w:color w:val="1B365D"/>
          <w:sz w:val="22"/>
          <w:szCs w:val="22"/>
        </w:rPr>
        <w:t xml:space="preserve">Key Provisions</w:t>
      </w:r>
    </w:p>
    <w:p>
      <w:pPr>
        <w:pStyle w:val="ListParagraph"/>
        <w:numPr>
          <w:ilvl w:val="0"/>
          <w:numId w:val="12"/>
        </w:numPr>
        <w:spacing w:after="60"/>
      </w:pPr>
      <w:r>
        <w:rPr>
          <w:rFonts w:ascii="Arial" w:cs="Arial" w:eastAsia="Arial" w:hAnsi="Arial"/>
          <w:sz w:val="20"/>
          <w:szCs w:val="20"/>
        </w:rPr>
        <w:t xml:space="preserve">AB 602: nexus studies required for all impact fees; must demonstrate actual infrastructure cost relationship</w:t>
      </w:r>
    </w:p>
    <w:p>
      <w:pPr>
        <w:pStyle w:val="ListParagraph"/>
        <w:numPr>
          <w:ilvl w:val="0"/>
          <w:numId w:val="12"/>
        </w:numPr>
        <w:spacing w:after="60"/>
      </w:pPr>
      <w:r>
        <w:rPr>
          <w:rFonts w:ascii="Arial" w:cs="Arial" w:eastAsia="Arial" w:hAnsi="Arial"/>
          <w:sz w:val="20"/>
          <w:szCs w:val="20"/>
        </w:rPr>
        <w:t xml:space="preserve">AB 1483: all fee schedules, timelines, and requirements must be posted online with annual reporting</w:t>
      </w:r>
    </w:p>
    <w:p>
      <w:pPr>
        <w:pStyle w:val="ListParagraph"/>
        <w:numPr>
          <w:ilvl w:val="0"/>
          <w:numId w:val="12"/>
        </w:numPr>
        <w:spacing w:after="60"/>
      </w:pPr>
      <w:r>
        <w:rPr>
          <w:rFonts w:ascii="Arial" w:cs="Arial" w:eastAsia="Arial" w:hAnsi="Arial"/>
          <w:sz w:val="20"/>
          <w:szCs w:val="20"/>
        </w:rPr>
        <w:t xml:space="preserve">Mitigation Fee Act (§66000+): fees must not exceed the estimated reasonable cost of providing the service</w:t>
      </w:r>
    </w:p>
    <w:p>
      <w:pPr>
        <w:pStyle w:val="ListParagraph"/>
        <w:numPr>
          <w:ilvl w:val="0"/>
          <w:numId w:val="12"/>
        </w:numPr>
        <w:spacing w:after="60"/>
      </w:pPr>
      <w:r>
        <w:rPr>
          <w:rFonts w:ascii="Arial" w:cs="Arial" w:eastAsia="Arial" w:hAnsi="Arial"/>
          <w:sz w:val="20"/>
          <w:szCs w:val="20"/>
        </w:rPr>
        <w:t xml:space="preserve">Nollan v. CCC (1987): exactions must have essential nexus to legitimate government interest</w:t>
      </w:r>
    </w:p>
    <w:p>
      <w:pPr>
        <w:pStyle w:val="ListParagraph"/>
        <w:numPr>
          <w:ilvl w:val="0"/>
          <w:numId w:val="12"/>
        </w:numPr>
        <w:spacing w:after="60"/>
      </w:pPr>
      <w:r>
        <w:rPr>
          <w:rFonts w:ascii="Arial" w:cs="Arial" w:eastAsia="Arial" w:hAnsi="Arial"/>
          <w:sz w:val="20"/>
          <w:szCs w:val="20"/>
        </w:rPr>
        <w:t xml:space="preserve">Dolan v. Tigard (1994): exactions must be roughly proportional to project’s impact</w:t>
      </w:r>
    </w:p>
    <w:p>
      <w:pPr>
        <w:pStyle w:val="ListParagraph"/>
        <w:numPr>
          <w:ilvl w:val="0"/>
          <w:numId w:val="12"/>
        </w:numPr>
        <w:spacing w:after="60"/>
      </w:pPr>
      <w:r>
        <w:rPr>
          <w:rFonts w:ascii="Arial" w:cs="Arial" w:eastAsia="Arial" w:hAnsi="Arial"/>
          <w:sz w:val="20"/>
          <w:szCs w:val="20"/>
        </w:rPr>
        <w:t xml:space="preserve">SB 330/SB 8: fees locked at preliminary application date through 2030</w:t>
      </w:r>
    </w:p>
    <w:p>
      <w:pPr>
        <w:pStyle w:val="ListParagraph"/>
        <w:numPr>
          <w:ilvl w:val="0"/>
          <w:numId w:val="12"/>
        </w:numPr>
        <w:spacing w:after="60"/>
      </w:pPr>
      <w:r>
        <w:rPr>
          <w:rFonts w:ascii="Arial" w:cs="Arial" w:eastAsia="Arial" w:hAnsi="Arial"/>
          <w:sz w:val="20"/>
          <w:szCs w:val="20"/>
        </w:rPr>
        <w:t xml:space="preserve">Developers can demand accounting of fee expenditure and challenge fees exceeding nexus-study levels</w:t>
      </w:r>
    </w:p>
    <w:p>
      <w:pPr>
        <w:pStyle w:val="ListParagraph"/>
        <w:numPr>
          <w:ilvl w:val="0"/>
          <w:numId w:val="12"/>
        </w:numPr>
        <w:spacing w:after="60"/>
      </w:pPr>
      <w:r>
        <w:rPr>
          <w:rFonts w:ascii="Arial" w:cs="Arial" w:eastAsia="Arial" w:hAnsi="Arial"/>
          <w:sz w:val="20"/>
          <w:szCs w:val="20"/>
        </w:rPr>
        <w:t xml:space="preserve">School fees capped by statute (Gov. Code §65995); Quimby Act park dedication limited to subdivision projects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6"/>
              <w:bottom w:val="single" w:color="2E8B57" w:sz="1"/>
              <w:right w:val="single" w:color="2E8B57" w:sz="1"/>
            </w:tcBorders>
            <w:shd w:fill="D5F0E0" w:val="clear"/>
            <w:tcMar>
              <w:top w:type="dxa" w:w="120"/>
              <w:left w:type="dxa" w:w="200"/>
              <w:bottom w:type="dxa" w:w="120"/>
              <w:right w:type="dxa" w:w="200"/>
            </w:tcMar>
          </w:tcPr>
          <w:p>
            <w:pPr>
              <w:spacing w:after="80"/>
            </w:pPr>
            <w:r>
              <w:rPr>
                <w:rFonts w:ascii="Arial" w:cs="Arial" w:eastAsia="Arial" w:hAnsi="Arial"/>
                <w:b/>
                <w:bCs/>
                <w:color w:val="2E8B57"/>
                <w:sz w:val="22"/>
                <w:szCs w:val="22"/>
              </w:rPr>
              <w:t xml:space="preserve">SVDen Strategic Impact</w:t>
            </w:r>
          </w:p>
          <w:p>
            <w:pPr>
              <w:spacing w:after="60"/>
            </w:pPr>
            <w:r>
              <w:rPr>
                <w:rFonts w:ascii="Arial" w:cs="Arial" w:eastAsia="Arial" w:hAnsi="Arial"/>
                <w:color w:val="404040"/>
                <w:sz w:val="20"/>
                <w:szCs w:val="20"/>
              </w:rPr>
              <w:t xml:space="preserve">Pull nexus studies for every jurisdiction where you develop—Menlo Park, San Jose, Gilroy, Morgan Hill.</w:t>
            </w:r>
          </w:p>
          <w:p>
            <w:pPr>
              <w:spacing w:after="60"/>
            </w:pPr>
            <w:r>
              <w:rPr>
                <w:rFonts w:ascii="Arial" w:cs="Arial" w:eastAsia="Arial" w:hAnsi="Arial"/>
                <w:color w:val="404040"/>
                <w:sz w:val="20"/>
                <w:szCs w:val="20"/>
              </w:rPr>
              <w:t xml:space="preserve">SB 330 fee-lock strategy: file preliminary application early even if design isn’t final. Locks today’s fees for the entire entitlement period.</w:t>
            </w:r>
          </w:p>
          <w:p>
            <w:pPr>
              <w:spacing w:after="60"/>
            </w:pPr>
            <w:r>
              <w:rPr>
                <w:rFonts w:ascii="Arial" w:cs="Arial" w:eastAsia="Arial" w:hAnsi="Arial"/>
                <w:color w:val="404040"/>
                <w:sz w:val="20"/>
                <w:szCs w:val="20"/>
              </w:rPr>
              <w:t xml:space="preserve">Fee burden can be $30K–$100K+ per unit in Bay Area jurisdictions. A $50K/unit fee on a 10-unit SB 684 project = $500K impact on feasibility.</w:t>
            </w:r>
          </w:p>
          <w:p>
            <w:pPr>
              <w:spacing w:after="60"/>
            </w:pPr>
            <w:r>
              <w:rPr>
                <w:rFonts w:ascii="Arial" w:cs="Arial" w:eastAsia="Arial" w:hAnsi="Arial"/>
                <w:color w:val="404040"/>
                <w:sz w:val="20"/>
                <w:szCs w:val="20"/>
              </w:rPr>
              <w:t xml:space="preserve">Build fee sensitivity analysis into every pro forma: model project IRR at current fees, +25%, and +50% to understand exposure.</w:t>
            </w:r>
          </w:p>
        </w:tc>
      </w:tr>
    </w:tbl>
    <w:p>
      <w:pPr>
        <w:spacing w:after="60"/>
      </w:pPr>
    </w:p>
    <w:p>
      <w:pPr>
        <w:spacing w:after="60"/>
      </w:pPr>
    </w:p>
    <w:p>
      <w:r>
        <w:br w:type="page"/>
      </w:r>
    </w:p>
    <w:p>
      <w:pPr>
        <w:pStyle w:val="Heading1"/>
      </w:pPr>
      <w:r>
        <w:t xml:space="preserve">Quick Reference: Approval Pathway Decision Matrix</w:t>
      </w:r>
    </w:p>
    <w:p>
      <w:pPr>
        <w:spacing w:after="60"/>
      </w:pPr>
    </w:p>
    <w:p>
      <w:pPr>
        <w:spacing w:after="120"/>
      </w:pPr>
      <w:r>
        <w:rPr>
          <w:rFonts w:ascii="Arial" w:cs="Arial" w:eastAsia="Arial" w:hAnsi="Arial"/>
          <w:sz w:val="21"/>
          <w:szCs w:val="21"/>
        </w:rPr>
        <w:t xml:space="preserve">Use this matrix to quickly identify which streamlining law applies to your project type and 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11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Project Type</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Best Pathway</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18"/>
                <w:szCs w:val="18"/>
              </w:rPr>
              <w:t xml:space="preserve">CEQA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Multifamily (10+ units), RHNA-short city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SB 423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60–90 days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Multifamily on commercial 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 2011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60–90 days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Small infill (2–10 units), MF zone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SB 684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 days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SFR lot split + duplex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SB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days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ADU/JADU on residential lot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ADU Law (§65852.2)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 days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affordable on faith/college 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SB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By-right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Ministerial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Single home, code-compliant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HAA + PSA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Discretionary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120–180 days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Class 32 Infill</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6"/>
              <w:bottom w:val="single" w:color="1B365D" w:sz="1"/>
              <w:right w:val="single" w:color="1B365D"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Strategic Integration Note</w:t>
            </w:r>
          </w:p>
          <w:p>
            <w:pPr>
              <w:spacing w:after="60"/>
            </w:pPr>
            <w:r>
              <w:rPr>
                <w:rFonts w:ascii="Arial" w:cs="Arial" w:eastAsia="Arial" w:hAnsi="Arial"/>
                <w:color w:val="404040"/>
                <w:sz w:val="20"/>
                <w:szCs w:val="20"/>
              </w:rPr>
              <w:t xml:space="preserve">These laws work in combination, not isolation. The most powerful project strategies layer multiple laws: SB 9 lot split + AB 1033 ADU condo sale + ADU law provisions = maximum unit density and financial flexibility from a single original parcel.</w:t>
            </w:r>
          </w:p>
          <w:p>
            <w:pPr>
              <w:spacing w:after="60"/>
            </w:pPr>
            <w:r>
              <w:rPr>
                <w:rFonts w:ascii="Arial" w:cs="Arial" w:eastAsia="Arial" w:hAnsi="Arial"/>
                <w:color w:val="404040"/>
                <w:sz w:val="20"/>
                <w:szCs w:val="20"/>
              </w:rPr>
              <w:t xml:space="preserve">Always verify current law status before relying on any provision. California housing law changes every legislative session. Subscribe to HCD bulletins, Meyers Nave land use alerts, and Holland &amp; Knight housing law updates for real-time tracking.</w:t>
            </w:r>
          </w:p>
          <w:p>
            <w:pPr>
              <w:spacing w:after="60"/>
            </w:pPr>
            <w:r>
              <w:rPr>
                <w:rFonts w:ascii="Arial" w:cs="Arial" w:eastAsia="Arial" w:hAnsi="Arial"/>
                <w:color w:val="404040"/>
                <w:sz w:val="20"/>
                <w:szCs w:val="20"/>
              </w:rPr>
              <w:t xml:space="preserve">Cross-reference this document with the Pre-Design Site Constraint Analysis template (regulatory checkpoint section) and the Pro Forma Financial Decision Framework (fee modeling section) for project-level application.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999999"/>
        <w:sz w:val="16"/>
        <w:szCs w:val="16"/>
      </w:rPr>
      <w:t xml:space="preserve">CA Land Use &amp; Development Learning System</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California Housing &amp; Development Law Reference</w:t>
    </w:r>
    <w:r>
      <w:ptab w:alignment="right" w:relativeTo="margin" w:leader="none"/>
    </w:r>
    <w:r>
      <w:rPr>
        <w:rFonts w:ascii="Arial" w:cs="Arial" w:eastAsia="Arial" w:hAnsi="Arial"/>
        <w:color w:val="999999"/>
        <w:sz w:val="16"/>
        <w:szCs w:val="16"/>
      </w:rPr>
      <w:t xml:space="preserve">SVDen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2026-02-15T05:22:17.282Z</dcterms:created>
  <dcterms:modified xsi:type="dcterms:W3CDTF">2026-02-15T05:22:17.283Z</dcterms:modified>
</cp:coreProperties>
</file>

<file path=docProps/custom.xml><?xml version="1.0" encoding="utf-8"?>
<Properties xmlns="http://schemas.openxmlformats.org/officeDocument/2006/custom-properties" xmlns:vt="http://schemas.openxmlformats.org/officeDocument/2006/docPropsVTypes"/>
</file>