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 FORMA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984"/>
          <w:sz w:val="44"/>
          <w:szCs w:val="44"/>
        </w:rPr>
        <w:t xml:space="preserve">FINANCIAL DECISION FRAMEWORK</w:t>
      </w:r>
    </w:p>
    <w:p>
      <w:pPr>
        <w:pBdr>
          <w:bottom w:val="single" w:color="4A90D9" w:sz="4" w:space="8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Companion to the Pre-Design Site Constraint Analysis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Does It Pencil? Run the Numbers Before You Spend a Dollar on Design.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Residential  •  Multifamily  •  Hotel  •  Modular</w:t>
      </w:r>
    </w:p>
    <w:p>
      <w:pPr>
        <w:spacing w:after="1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Built from the $800K+ holding cost lesson at 595 Morey Drive, Menlo Park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SVDen Development  •  California GC License #B-1049430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Decision Framework: How It Works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framework operates at three levels of increasing detail. Each level is a gate: if the project fails at any level, do not proceed to the next. The goal is to kill bad deals fast and cheap, before investing in design or entitlements.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31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/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5-Minute Napkin Test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Kill obviously bad deals before wasting any time. Back-of-envelope math on ARV, all-in cost, and margin.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minutes / 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Development Pro Forma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Line-item cost buildup with timeline, holding costs, financing, fees, and sensitivity analysis. Runs in parallel with Site Constraint Analysis.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hours / 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Stress Test &amp; Kill Criteria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Break-even analysis, downside scenarios, and explicit kill thresholds. The final gate before authorizing design spend.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hours / $0</w:t>
            </w:r>
          </w:p>
        </w:tc>
      </w:tr>
    </w:tbl>
    <w:p>
      <w:pPr>
        <w:spacing w:before="300"/>
      </w:pP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595 Morey, a simple holding cost calculation would have shown that a 3-year entitlement timeline on a bridge loan with $15K+/month carrying cost would consume $540K+ before a single nail was driven. The project needed either different financing or a much faster entitlement path to work.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Decision Rules That Apply Across All Levels</w:t>
      </w: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gross margin: 15% for SFR spec, 20% for multifamily, 25% for hotel. Below these thresholds, the risk-adjusted return does not compensate for entitlement, construction, and market risk.</w:t>
      </w: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Maximum entitlement exposure: Never invest more than 3% of projected total development cost in pre-entitlement soft costs (design, surveys, studies) without a vested entitlement or fallback strategy.</w:t>
      </w: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Holding cost ceiling: Monthly holding cost (debt service + tax + insurance) must not exceed 1% of expected gross profit. If it does, the timeline must be compressed or financing restructured.</w:t>
      </w: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Time-value test: Every month of delay costs you the monthly hold PLUS opportunity cost. If a 6-month delay drops IRR below your hurdle rate (typically 15–20% levered), the project fails.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Project Type Selection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Select the applicable project type below. Each type has different cost assumptions, revenue drivers, and risk thresholds. You may need to run multiple scenarios if the highest-and-best-use is unclear.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Driver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Cost Variable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SFR 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ARV (comp-based)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$/SF + holding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SFR + ADU (SB 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ARV + ADU premium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 incremental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Multifamily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NOI ÷ Cap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Per-unit cost + entitlements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RevPAR × Keys × 365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Per-key cost + franchise fees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Modular (any type)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base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cost + transport + crane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+3–5% vs conventional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Selected Project Type for This Analysis: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Level 1: The 5-Minute Napkin Test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first financial gate. You should be able to run this test using publicly available data (Zillow, Redfin, county assessor) within 5 minutes. If the deal does not clear this gate, do not proceed to Level 2 or the Site Constraint Analysis.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1A. Residential Napkin Test (SFR / SFR+ADU / Multifamily)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A. Estimated ARV (or stabilized value for MF)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Source: _______ comps at $_______/SF avg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B. Acquisition (purchase price + closing)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C. Hard Costs (construction $/SF × total SF)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Construction $/SF used: $_______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Total SF: 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D. Soft Costs (design, engineering, permits = 15–20% of 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 Government Fees (impact + connection + permit)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 Holding Costs (monthly hold × months)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Monthly: $_______  ×  Months: 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G. Contingency (10% of C+D+E)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H. Selling Costs (5–6% of A: commissions + transfer tax)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ALL-IN COST (B+C+D+E+F+G+H)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/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GROSS PROFIT (A − Total)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GROSS MARGIN % (Profit ÷ Total)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SFR Spec: Gross margin must be ≥15% to proceed. SFR+ADU: ≥20%. Multifamily: ≥20%. If margin is 10–15%, project is marginal—only proceed if you have a clear path to reduce costs or increase value.</w:t>
      </w:r>
    </w:p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1B. Hotel Napkin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 (Stabilized Annual)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A. Number of Keys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B. Average Daily Rate (ADR)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C. Occupancy Rate (%)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D. RevPAR (B × 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 Gross Room Revenue (A × D × 365)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 Total Revenue (E × 1.25 for F&amp;B + other)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G. NOI (F × 35–40% margin for select-service)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VALUATION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H. Cap Rate (typically 7–9% select-service)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I. Stabilized Value (G ÷ 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J. Total Development Cost ($/key × keys)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Cost per key used: $_______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DEVELOPMENT SPREAD (I − J)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YIELD ON COST (G ÷ J)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Hotel: Yield on cost must exceed cap rate by ≥1.5% (e.g., 7% cap = need 8.5%+ yield on cost). Development spread must be ≥25% of total cost. If yield on cost is below cap rate, you are destroying value.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1C. Napkin Test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PASS — Proceed to Level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Margin meets threshold. Proceed to detailed pro forma.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FAIL — Kill or Restructure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Below threshold. Either renegotiate acquisition or identify cost reduction.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Level 2: Development Pro Forma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detailed financial model. Complete this in parallel with the Site Constraint Analysis (Sections 1–4). The constraint analysis tells you what you can build; this tells you what it costs and what it is worth. Every line item requires a source or basis—no guessing.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595 Morey, the original pro forma assumed a 12–15 month permit + build timeline. Actual timeline exceeded 36 months. The holding cost alone consumed more than the projected profit margin. Every pro forma must be stress-tested against a realistic worst-case timeline.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2A. Sources &amp; Uses of Funds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Uses of Funds (Costs)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80"/>
        <w:gridCol w:w="18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$/SF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LAND &amp; ACQUISITION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Closing Costs (title, escrow, transfer tax)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Diligence (inspections, surveys, Phase 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LAND</w:t>
            </w:r>
          </w:p>
        </w:tc>
        <w:tc>
          <w:tcPr>
            <w:tcW w:type="dxa" w:w="1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HARD COSTS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Demolition / Site Clearing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Excavation &amp; Grading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(or ICF Basement)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Structural Framing (wood / steel / CFS / modular)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Exterior Envelope (roofing, siding, windows)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MEP Rough-In (mechanical, electrical, plumbing)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Interior Finishes (drywall, flooring, paint)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Cabinetry (Nobilia / other)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Landscaping &amp; Hardscape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 Sprinkler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Modular Premium / Discount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Cost Contingency (10%)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HARD COSTS</w:t>
            </w:r>
          </w:p>
        </w:tc>
        <w:tc>
          <w:tcPr>
            <w:tcW w:type="dxa" w:w="1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SOFT COSTS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Structural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Civil Engineering (grading, drainage, C.3)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Geotechnical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Survey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&amp; Escrow (construction)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Environmental / CEQA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(entitlement, entity, contracts)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Accounting /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 (builder’s risk + GL)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/ Staging / Photography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Cost Contingency (5%)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SOFT COSTS</w:t>
            </w:r>
          </w:p>
        </w:tc>
        <w:tc>
          <w:tcPr>
            <w:tcW w:type="dxa" w:w="1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GOVERNMENT FEES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 Permit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Planning / Zoning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Impact Fees ($/SF × SF)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 / Recreation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Sewer Connection (WBSD or equivalent)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 Sprinkler Permit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(traffic, art-in-public-places,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GOVERNMENT FEES</w:t>
            </w:r>
          </w:p>
        </w:tc>
        <w:tc>
          <w:tcPr>
            <w:tcW w:type="dxa" w:w="1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FINANCING COSTS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Acquisition Loan Interest (rate × term)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Acquisition Loan Points / Origination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Loan Interest (draw schedule)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Loan Points / Origination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 Fees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Tax (during hold period)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Insurance (during hold period)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 (during construction)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FINANCING / HOLDING COSTS</w:t>
            </w:r>
          </w:p>
        </w:tc>
        <w:tc>
          <w:tcPr>
            <w:tcW w:type="dxa" w:w="1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DISPOSITION COSTS (Sale)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 Commission (2.5–3% per side)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Closing Costs (title, escrow)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Warranty (if SFR)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DISPOSITION COSTS</w:t>
            </w:r>
          </w:p>
        </w:tc>
        <w:tc>
          <w:tcPr>
            <w:tcW w:type="dxa" w:w="18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tr>
      <w:tc>
        <w:tcPr>
          <w:tcW w:type="dxa" w:w="5600"/>
          <w:tcBorders>
            <w:top w:val="single" w:color="1B3A5C" w:sz="2"/>
            <w:left w:val="single" w:color="CCCCCC" w:sz="1"/>
            <w:bottom w:val="single" w:color="1B3A5C" w:sz="3"/>
            <w:right w:val="single" w:color="CCCCCC" w:sz="1"/>
          </w:tcBorders>
          <w:shd w:fill="E8EDF2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B3A5C"/>
              <w:sz w:val="20"/>
              <w:szCs w:val="20"/>
            </w:rPr>
            <w:t xml:space="preserve">TOTAL DEVELOPMENT COST (all categories)</w:t>
          </w:r>
        </w:p>
      </w:tc>
      <w:tc>
        <w:tcPr>
          <w:tcW w:type="dxa" w:w="3760"/>
          <w:tcBorders>
            <w:top w:val="single" w:color="1B3A5C" w:sz="2"/>
            <w:left w:val="single" w:color="CCCCCC" w:sz="1"/>
            <w:bottom w:val="single" w:color="1B3A5C" w:sz="3"/>
            <w:right w:val="single" w:color="CCCCCC" w:sz="1"/>
          </w:tcBorders>
          <w:shd w:fill="E8EDF2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B3A5C"/>
              <w:sz w:val="20"/>
              <w:szCs w:val="20"/>
            </w:rPr>
            <w:t xml:space="preserve"> </w:t>
          </w:r>
        </w:p>
      </w:tc>
    </w:t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2B. Revenue Estimation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Residential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Residence ARV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Comp 1: _______ at $_______/SF = $_______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Comp 2: _______ at $_______/SF = $_______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Comp 3: _______ at $_______/SF = $_______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Average $/SF: _______  ×  Project SF: _______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 Value (if applicable)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Basement Value Premium (if applicable)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Features (elevator, Nobilia, smart home)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ESTIMATED SALE PRICE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Hotel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Rooms Revenue (Keys × ADR × Occ × 365)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F&amp;B Revenue (typically 15–25% of rooms)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Revenue (parking, events, retail)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GROSS REVENUE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Less: Operating Expenses (55–65% of revenue)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Less: Franchise Fees (6–10% of rooms revenue)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Less: FF&amp;E Reserve (4% of revenue)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Less: Management Fee (3–4% of revenue)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NET OPERATING INCOME (NOI)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Rate for Valuation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STABILIZED VALUE (NOI ÷ Cap Rate)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2C. Returns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80"/>
        <w:gridCol w:w="238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Case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Conservative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Revenue / Sale Price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Development Cost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Profit ($)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Margin (%)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Equity Invested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Multiple (Profit ÷ Equity)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Project Duration (months)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Annualized ROI (Margin ÷ Duration × 12)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Levered IRR (if modeled)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Cash-on-Cash Return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 on Cost (Hotel only: NOI ÷ TDC)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Conservative case: ARV at -10%, construction costs at +20%, timeline at +50%. If the project still meets minimum margin thresholds under conservative assumptions, it is a strong deal.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2D. Holding Cost Burn Rate &amp; Timeline Sensitivity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595 Morey monthly burn: ~$15K (bridge loan interest) + $3K (property tax) + $1K (insurance) = ~$19K/month. Over 36 months of permitting delays: ~$684K consumed before construction started. This section forces you to calculate exactly when the hold kills the deal.</w:t>
      </w:r>
    </w:p>
    <w:p>
      <w:pPr>
        <w:spacing w:before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Monthly Holding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$/Month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Acquisition Loan Debt 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Taxes (annual ÷ 12)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Property Insurance (annual ÷ 12)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 / Maintenance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HOA / Assessments (if any)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MONTHLY BURN RATE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Timeline Scenario Analysis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the pro forma at three timeline scenarios to see how sensitive the deal is to delays.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Case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Entitlement Duration (months)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Duration (months)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 / Lease-Up (months)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Duration (months)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Holding Cost ($)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Profit ($)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Margin (%)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Annualized ROI (%)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Break-Even &amp; Death Point Analysis</w:t>
      </w: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The Death Point is the month at which cumulative holding costs consume your entire projected profit. If your worst-case timeline extends past the death point, the deal has unacceptable risk without restructured financing.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Break-Even 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Projected Gross Profit (base case)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Burn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Death Point Month (Profit ÷ Monthly Burn)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Maturity Month (from acquisition)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Maturity + All Extensions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Worst-Case Total Duration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Death Point Month &lt; Worst-Case Duration: RESTRUCTURE FINANCING before proceeding.</w:t>
      </w: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Loan Maturity + Extensions &lt; Worst-Case Permit Timeline: RESTRUCTURE FINANCING before proceeding.</w:t>
      </w: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Ideal: Death Point should be at least 2× your worst-case total duration. This gives you a margin of safety for the unexpected.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Level 3: Stress Test &amp; Kill Criteria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final financial gate. Take your base-case pro forma and systematically degrade each assumption. If the project survives the stress test, it is a GO. If any single stress case kills the deal, you must either mitigate that specific risk or walk away.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3A. Single-Variable Stress Tests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variable below, hold all other assumptions constant and stress only the variable shown. Record the result and determine if the project still meets minimum thresholds.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8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Stress 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ARV / Sale Price: -10%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ARV / Sale Price: -15%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ARV / Sale Price: -20%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Costs: +10%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Costs: +20%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Costs: +30%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Timeline: +6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Timeline: +12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Timeline: +18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Interest Rate: +2%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Occupancy: -10% (hotel)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ADR: -15% (hotel)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3B. Combined Stress Test (Worst Realistic Case)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scenario that actually happens in a downturn: multiple things go wrong simultaneously. Apply ALL of the following at once: ARV -10%, hard costs +20%, timeline +50%.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Combined Stress 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Stressed Revenue (ARV at -10%)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Stressed Cost (+20% hard costs)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Stressed Holding (+50% timeline)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Stressed Gross Profit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Stressed Gross Margin %</w:t>
            </w:r>
          </w:p>
        </w:tc>
        <w:tc>
          <w:tcPr>
            <w:tcW w:type="dxa" w:w="3760"/>
            <w:tcBorders>
              <w:top w:val="single" w:color="1B3A5C" w:sz="2"/>
              <w:left w:val="single" w:color="CCCCCC" w:sz="1"/>
              <w:bottom w:val="single" w:color="1B3A5C" w:sz="3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27AE60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Combined stress test: If gross margin is still positive, the project has a reasonable margin of safety. If margin goes negative under combined stress, the project is a leveraged bet on everything going right. Proceed only if you can absorb the downside.</w:t>
      </w:r>
    </w:p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3C. Explicit Kill Criteria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each criterion below. Any single KILL triggers a no-go unless the specific risk can be structurally mitigated (not just "managed" or "hoped away").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Kill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case gross margin &lt; minimum threshold (15% SFR / 20% MF / 25% Hotel)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Combined stress test produces negative margin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Death point month &lt; worst-case total project 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maturity + extensions &lt; worst-case permit issuance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burn &gt; 1% of expected gross profit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Pre-entitlement soft cost exposure &gt; 3% of total development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point of failure with no mitigation (e.g., sole-source funding, one buyer)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constraint analysis reveals unresolved FATAL FLAW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Conservative ARV requires comps that don’t exist in the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cost estimate has no GC bid or comparable project basis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Entitlement path requires discretionary approval with organized opposition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Franchise agreement (hotel) requires signing before entitlement certainty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Go / No-Go Decision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final financial gate. It integrates with the Site Constraint Analysis decision (Section 6 of the companion template). BOTH must show GO for the project to proceed.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1: Napkin Test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2: Pro Forma (Base Case)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2D: Holding Cost / Timeline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3A: Single-Variable Stress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3B: Combined Stress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3C: Kill Criteria (none triggered)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Constraint Analysis (Sections 1–5)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6"/>
                <w:szCs w:val="26"/>
              </w:rPr>
              <w:t xml:space="preserve">☐ 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gates pass. Authorize design spend. Transfer constraints to design brief.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☐ CONDITIONAL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or more conditions must be met before proceeding. Document conditions below.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☐ NO-GO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Kill criteria triggered or combined stress negative. Walk away or renegotiate.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Conditions (if Conditional GO)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Condition 1: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Condition 2: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Condition 3: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Deadline to Satisfy Conditions: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Capital at Risk Before Conditions Met: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Key Financial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Development 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 Sale Price / Stabilized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Profit (Base Case)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Margin % (Base Case)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Profit (Conservative)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Margin % (Conservative)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Burn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Death Point (months)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Duration (months)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Annualized ROI (Base Case)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Multiple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Signatures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Financial Analyst: ________________________________    Date: ____________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Principal: ________________________________    Date: ____________</w:t>
      </w:r>
    </w:p>
    <w:p>
      <w:pPr>
        <w:spacing w:before="400"/>
      </w:pPr>
    </w:p>
    <w:p>
      <w:pPr>
        <w:pBdr>
          <w:top w:val="single" w:color="4A90D9" w:sz="2" w:space="8"/>
        </w:pBd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SVDen Development  •  Pro Forma Financial Decision Framework  • 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Companion to the Pre-Design Site Constraint Analysis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Financial Decision Framework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SVDen Development  •  Pro Forma Decision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2026-02-15T01:42:09.409Z</dcterms:created>
  <dcterms:modified xsi:type="dcterms:W3CDTF">2026-02-15T01:42:09.411Z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