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i w:val="0"/>
        </w:rPr>
        <w:t>Wildfire risk in North Carolina peatlands and the effect of peatland restoration on burned area</w:t>
      </w:r>
    </w:p>
    <w:p>
      <w:r>
        <w:rPr>
          <w:b/>
          <w:i w:val="0"/>
        </w:rPr>
        <w:t>Draft scaffold.</w:t>
      </w:r>
      <w:r>
        <w:rPr>
          <w:i w:val="0"/>
        </w:rPr>
        <w:t xml:space="preserve"> Every </w:t>
      </w:r>
      <w:r>
        <w:rPr>
          <w:rFonts w:ascii="Consolas" w:hAnsi="Consolas"/>
          <w:i w:val="0"/>
        </w:rPr>
        <w:t>[[...]]</w:t>
      </w:r>
      <w:r>
        <w:rPr>
          <w:i w:val="0"/>
        </w:rPr>
        <w:t xml:space="preserve"> is a hole to fill; nothing else is meant to be rewritten from scratch. Marker key:</w:t>
      </w:r>
    </w:p>
    <w:tbl>
      <w:tblPr>
        <w:tblStyle w:val="TableGrid"/>
        <w:tblW w:type="auto" w:w="0"/>
        <w:tblLook w:firstColumn="1" w:firstRow="1" w:lastColumn="0" w:lastRow="0" w:noHBand="0" w:noVBand="1" w:val="04A0"/>
      </w:tblPr>
      <w:tblGrid>
        <w:gridCol w:w="4320"/>
        <w:gridCol w:w="4320"/>
      </w:tblGrid>
      <w:tr>
        <w:tc>
          <w:tcPr>
            <w:tcW w:type="dxa" w:w="4320"/>
          </w:tcPr>
          <w:p>
            <w:r/>
            <w:r>
              <w:rPr>
                <w:b/>
                <w:i w:val="0"/>
              </w:rPr>
              <w:t>Marker</w:t>
            </w:r>
          </w:p>
        </w:tc>
        <w:tc>
          <w:tcPr>
            <w:tcW w:type="dxa" w:w="4320"/>
          </w:tcPr>
          <w:p>
            <w:r/>
            <w:r>
              <w:rPr>
                <w:b/>
                <w:i w:val="0"/>
              </w:rPr>
              <w:t>Means</w:t>
            </w:r>
          </w:p>
        </w:tc>
      </w:tr>
      <w:tr>
        <w:tc>
          <w:tcPr>
            <w:tcW w:type="dxa" w:w="4320"/>
          </w:tcPr>
          <w:p>
            <w:r/>
            <w:r>
              <w:rPr>
                <w:rFonts w:ascii="Consolas" w:hAnsi="Consolas"/>
                <w:i w:val="0"/>
              </w:rPr>
              <w:t>[[NUM: ...]]</w:t>
            </w:r>
          </w:p>
        </w:tc>
        <w:tc>
          <w:tcPr>
            <w:tcW w:type="dxa" w:w="4320"/>
          </w:tcPr>
          <w:p>
            <w:r/>
            <w:r>
              <w:rPr>
                <w:i w:val="0"/>
              </w:rPr>
              <w:t>a number/statistic to paste in from the notebook</w:t>
            </w:r>
          </w:p>
        </w:tc>
      </w:tr>
      <w:tr>
        <w:tc>
          <w:tcPr>
            <w:tcW w:type="dxa" w:w="4320"/>
          </w:tcPr>
          <w:p>
            <w:r/>
            <w:r>
              <w:rPr>
                <w:rFonts w:ascii="Consolas" w:hAnsi="Consolas"/>
                <w:i w:val="0"/>
              </w:rPr>
              <w:t>[[FIG n: ...]]</w:t>
            </w:r>
          </w:p>
        </w:tc>
        <w:tc>
          <w:tcPr>
            <w:tcW w:type="dxa" w:w="4320"/>
          </w:tcPr>
          <w:p>
            <w:r/>
            <w:r>
              <w:rPr>
                <w:i w:val="0"/>
              </w:rPr>
              <w:t xml:space="preserve">a figure slot — see </w:t>
            </w:r>
            <w:r>
              <w:rPr>
                <w:rFonts w:ascii="Consolas" w:hAnsi="Consolas"/>
                <w:i w:val="0"/>
              </w:rPr>
              <w:t>figure_table_manifest.md</w:t>
            </w:r>
            <w:r>
              <w:rPr>
                <w:i w:val="0"/>
              </w:rPr>
              <w:t xml:space="preserve"> for where it comes from</w:t>
            </w:r>
          </w:p>
        </w:tc>
      </w:tr>
      <w:tr>
        <w:tc>
          <w:tcPr>
            <w:tcW w:type="dxa" w:w="4320"/>
          </w:tcPr>
          <w:p>
            <w:r/>
            <w:r>
              <w:rPr>
                <w:rFonts w:ascii="Consolas" w:hAnsi="Consolas"/>
                <w:i w:val="0"/>
              </w:rPr>
              <w:t>[[TAB n: ...]]</w:t>
            </w:r>
          </w:p>
        </w:tc>
        <w:tc>
          <w:tcPr>
            <w:tcW w:type="dxa" w:w="4320"/>
          </w:tcPr>
          <w:p>
            <w:r/>
            <w:r>
              <w:rPr>
                <w:i w:val="0"/>
              </w:rPr>
              <w:t>a table slot</w:t>
            </w:r>
          </w:p>
        </w:tc>
      </w:tr>
      <w:tr>
        <w:tc>
          <w:tcPr>
            <w:tcW w:type="dxa" w:w="4320"/>
          </w:tcPr>
          <w:p>
            <w:r/>
            <w:r>
              <w:rPr>
                <w:rFonts w:ascii="Consolas" w:hAnsi="Consolas"/>
                <w:i w:val="0"/>
              </w:rPr>
              <w:t>[[TODO: ...]]</w:t>
            </w:r>
          </w:p>
        </w:tc>
        <w:tc>
          <w:tcPr>
            <w:tcW w:type="dxa" w:w="4320"/>
          </w:tcPr>
          <w:p>
            <w:r/>
            <w:r>
              <w:rPr>
                <w:i w:val="0"/>
              </w:rPr>
              <w:t>a sentence or paragraph only you can write (a judgment call)</w:t>
            </w:r>
          </w:p>
        </w:tc>
      </w:tr>
      <w:tr>
        <w:tc>
          <w:tcPr>
            <w:tcW w:type="dxa" w:w="4320"/>
          </w:tcPr>
          <w:p>
            <w:r/>
            <w:r>
              <w:rPr>
                <w:rFonts w:ascii="Consolas" w:hAnsi="Consolas"/>
                <w:i w:val="0"/>
              </w:rPr>
              <w:t>[[CHECK: ...]]</w:t>
            </w:r>
          </w:p>
        </w:tc>
        <w:tc>
          <w:tcPr>
            <w:tcW w:type="dxa" w:w="4320"/>
          </w:tcPr>
          <w:p>
            <w:r/>
            <w:r>
              <w:rPr>
                <w:i w:val="0"/>
              </w:rPr>
              <w:t>a claim I drafted from the repo docs / deck that you should confirm before it ships</w:t>
            </w:r>
          </w:p>
        </w:tc>
      </w:tr>
      <w:tr>
        <w:tc>
          <w:tcPr>
            <w:tcW w:type="dxa" w:w="4320"/>
          </w:tcPr>
          <w:p>
            <w:r/>
            <w:r>
              <w:rPr>
                <w:rFonts w:ascii="Consolas" w:hAnsi="Consolas"/>
                <w:i w:val="0"/>
              </w:rPr>
              <w:t>[[CUT?]]</w:t>
            </w:r>
          </w:p>
        </w:tc>
        <w:tc>
          <w:tcPr>
            <w:tcW w:type="dxa" w:w="4320"/>
          </w:tcPr>
          <w:p>
            <w:r/>
            <w:r>
              <w:rPr>
                <w:i w:val="0"/>
              </w:rPr>
              <w:t>candidate to delete if you run out of time</w:t>
            </w:r>
          </w:p>
        </w:tc>
      </w:tr>
    </w:tbl>
    <w:p/>
    <w:p>
      <w:r>
        <w:rPr>
          <w:i w:val="0"/>
        </w:rPr>
        <w:t xml:space="preserve">Prose that is </w:t>
      </w:r>
      <w:r>
        <w:rPr>
          <w:b/>
          <w:i w:val="0"/>
        </w:rPr>
        <w:t>not</w:t>
      </w:r>
      <w:r>
        <w:rPr>
          <w:i w:val="0"/>
        </w:rPr>
        <w:t xml:space="preserve"> in a marker is drafted boilerplate — read it, adjust the voice, and keep it. It is written from </w:t>
      </w:r>
      <w:r>
        <w:rPr>
          <w:rFonts w:ascii="Consolas" w:hAnsi="Consolas"/>
          <w:i w:val="0"/>
        </w:rPr>
        <w:t>modeling_notebook_explained.md</w:t>
      </w:r>
      <w:r>
        <w:rPr>
          <w:i w:val="0"/>
        </w:rPr>
        <w:t xml:space="preserve">, </w:t>
      </w:r>
      <w:r>
        <w:rPr>
          <w:rFonts w:ascii="Consolas" w:hAnsi="Consolas"/>
          <w:i w:val="0"/>
        </w:rPr>
        <w:t>null_results_and_next_steps.md</w:t>
      </w:r>
      <w:r>
        <w:rPr>
          <w:i w:val="0"/>
        </w:rPr>
        <w:t xml:space="preserve">, and </w:t>
      </w:r>
      <w:r>
        <w:rPr>
          <w:rFonts w:ascii="Consolas" w:hAnsi="Consolas"/>
          <w:i w:val="0"/>
        </w:rPr>
        <w:t>cat_kemen_meetings.pptx</w:t>
      </w:r>
      <w:r>
        <w:rPr>
          <w:i w:val="0"/>
        </w:rPr>
        <w:t xml:space="preserve">, so it should already be roughly true; </w:t>
      </w:r>
      <w:r>
        <w:rPr>
          <w:rFonts w:ascii="Consolas" w:hAnsi="Consolas"/>
          <w:i w:val="0"/>
        </w:rPr>
        <w:t>[[CHECK]]</w:t>
      </w:r>
      <w:r>
        <w:rPr>
          <w:i w:val="0"/>
        </w:rPr>
        <w:t xml:space="preserve"> flags the spots where I inferred.</w:t>
      </w:r>
    </w:p>
    <w:p>
      <w:pPr>
        <w:jc w:val="center"/>
      </w:pPr>
      <w:r>
        <w:rPr>
          <w:i/>
          <w:color w:val="666666"/>
        </w:rPr>
        <w:t xml:space="preserve"> </w:t>
      </w:r>
      <w:r>
        <w:rPr>
          <w:i w:val="0"/>
          <w:color w:val="666666"/>
        </w:rPr>
        <w:t xml:space="preserve"> *</w:t>
      </w:r>
    </w:p>
    <w:p>
      <w:pPr>
        <w:pStyle w:val="Heading2"/>
      </w:pPr>
      <w:r>
        <w:rPr>
          <w:i w:val="0"/>
        </w:rPr>
        <w:t>Executive summary</w:t>
      </w:r>
    </w:p>
    <w:p>
      <w:pPr>
        <w:ind w:left="480"/>
      </w:pPr>
      <w:r>
        <w:rPr>
          <w:i/>
          <w:color w:val="666666"/>
        </w:rPr>
        <w:t xml:space="preserve">Write this </w:t>
      </w:r>
      <w:r>
        <w:rPr>
          <w:b/>
          <w:i/>
          <w:color w:val="666666"/>
        </w:rPr>
        <w:t>last</w:t>
      </w:r>
      <w:r>
        <w:rPr>
          <w:i/>
          <w:color w:val="666666"/>
        </w:rPr>
        <w:t>, but keep the slot — Cat's email asks for exactly these four things and a reader who only reads one page should get all four here.</w:t>
      </w:r>
    </w:p>
    <w:p>
      <w:r>
        <w:rPr>
          <w:i w:val="0"/>
        </w:rPr>
        <w:t>This report covers work on wildfire risk in North Carolina peatlands carried out between June and September 2026, in support of TNC's pocosin restoration carbon accounting. It does four things:</w:t>
      </w:r>
    </w:p>
    <w:p>
      <w:pPr>
        <w:pStyle w:val="ListNumber"/>
      </w:pPr>
      <w:r>
        <w:rPr>
          <w:b/>
          <w:i w:val="0"/>
        </w:rPr>
        <w:t>What was done.</w:t>
      </w:r>
      <w:r>
        <w:rPr>
          <w:i w:val="0"/>
        </w:rPr>
        <w:t xml:space="preserve"> Eight satellite fire products (occurrence, burned area,</w:t>
      </w:r>
    </w:p>
    <w:p>
      <w:r>
        <w:rPr>
          <w:i w:val="0"/>
        </w:rPr>
        <w:t>and burn severity) were compared and validated against fire-perimeter reference datasets over North Carolina and, separately, over North Carolina peatlands. A matched, staggered difference-in-differences design was then built to test whether rewetting-based restoration at six TNC sites reduced burned area relative to ecologically similar unrestored peat.</w:t>
      </w:r>
    </w:p>
    <w:p>
      <w:pPr>
        <w:pStyle w:val="ListNumber"/>
      </w:pPr>
      <w:r>
        <w:rPr>
          <w:b/>
          <w:i w:val="0"/>
        </w:rPr>
        <w:t>What was decided, and why.</w:t>
      </w:r>
      <w:r>
        <w:rPr>
          <w:i w:val="0"/>
        </w:rPr>
        <w:t xml:space="preserve"> [[TODO: one-sentence version of §3.2 — the</w:t>
      </w:r>
    </w:p>
    <w:p>
      <w:r>
        <w:rPr>
          <w:i w:val="0"/>
        </w:rPr>
        <w:t xml:space="preserve">recommended products and the reason each was chosen.]] The headline recommendation is </w:t>
      </w:r>
      <w:r>
        <w:rPr>
          <w:b/>
          <w:i w:val="0"/>
        </w:rPr>
        <w:t>VIIRS active fire for occurrence, FireCCIS311 for spatial accuracy in burned area, and MODIS MCD64A1 where a long pre-treatment record matters</w:t>
      </w:r>
      <w:r>
        <w:rPr>
          <w:i w:val="0"/>
        </w:rPr>
        <w:t>; no burn severity product was usable over NC peat.</w:t>
      </w:r>
    </w:p>
    <w:p>
      <w:pPr>
        <w:pStyle w:val="ListNumber"/>
      </w:pPr>
      <w:r>
        <w:rPr>
          <w:b/>
          <w:i w:val="0"/>
        </w:rPr>
        <w:t>What predicts fire.</w:t>
      </w:r>
      <w:r>
        <w:rPr>
          <w:i w:val="0"/>
        </w:rPr>
        <w:t xml:space="preserve"> [[TODO: fill from §4.4 once the covariate models are</w:t>
      </w:r>
    </w:p>
    <w:p>
      <w:r>
        <w:rPr>
          <w:i w:val="0"/>
        </w:rPr>
        <w:t>run. Expect drought (PDSI) and drainage to lead; restoration status does not.]]</w:t>
      </w:r>
    </w:p>
    <w:p>
      <w:pPr>
        <w:pStyle w:val="ListNumber"/>
      </w:pPr>
      <w:r>
        <w:rPr>
          <w:b/>
          <w:i w:val="0"/>
        </w:rPr>
        <w:t>What comes next.</w:t>
      </w:r>
      <w:r>
        <w:rPr>
          <w:i w:val="0"/>
        </w:rPr>
        <w:t xml:space="preserve"> The restoration effect on burned area is **not</w:t>
      </w:r>
    </w:p>
    <w:p>
      <w:r>
        <w:rPr>
          <w:i w:val="0"/>
        </w:rPr>
        <w:t xml:space="preserve">identifiable at six sites**. The design has </w:t>
      </w:r>
      <w:r>
        <w:rPr>
          <w:b/>
          <w:i w:val="0"/>
          <w:highlight w:val="yellow"/>
        </w:rPr>
        <w:t>[[NUM: 0.2–3%]]</w:t>
      </w:r>
      <w:r>
        <w:rPr>
          <w:i w:val="0"/>
        </w:rPr>
        <w:t xml:space="preserve"> power against a treatment that prevents fire entirely, so the null describes the study, not the peatlands. The recommended path forward is a bounding analysis for the CPRG carbon estimate plus a shift of outcome from burned </w:t>
      </w:r>
      <w:r>
        <w:rPr>
          <w:i/>
        </w:rPr>
        <w:t>extent</w:t>
      </w:r>
      <w:r>
        <w:rPr>
          <w:i w:val="0"/>
        </w:rPr>
        <w:t xml:space="preserve"> to burn </w:t>
      </w:r>
      <w:r>
        <w:rPr>
          <w:i/>
        </w:rPr>
        <w:t>depth</w:t>
      </w:r>
      <w:r>
        <w:rPr>
          <w:i w:val="0"/>
        </w:rPr>
        <w:t>; see §5.</w:t>
      </w:r>
    </w:p>
    <w:p>
      <w:pPr>
        <w:jc w:val="center"/>
      </w:pPr>
      <w:r>
        <w:rPr>
          <w:i/>
          <w:color w:val="666666"/>
        </w:rPr>
        <w:t xml:space="preserve"> </w:t>
      </w:r>
      <w:r>
        <w:rPr>
          <w:i w:val="0"/>
          <w:color w:val="666666"/>
        </w:rPr>
        <w:t xml:space="preserve"> *</w:t>
      </w:r>
    </w:p>
    <w:p>
      <w:pPr>
        <w:pStyle w:val="Heading2"/>
      </w:pPr>
      <w:r>
        <w:rPr>
          <w:i w:val="0"/>
        </w:rPr>
        <w:t>1. Introduction</w:t>
      </w:r>
    </w:p>
    <w:p>
      <w:r>
        <w:rPr>
          <w:i w:val="0"/>
        </w:rPr>
        <w:t>This project compared the results from several fire products in assessing the occurrence, burn severity, and burned area of fires in North Carolina peatlands. It then examined whether peatland restoration via rewetting reduced burned area in six peatland sites restored by TNC compared to ecologically similar non-rewetted areas.</w:t>
      </w:r>
    </w:p>
    <w:p>
      <w:r>
        <w:rPr>
          <w:i w:val="0"/>
        </w:rPr>
        <w:t>However, the small number of restoration sites and their relatively recent restoration years precluded conclusive claims about the impact of peatland restoration on burned area, due to this limited spatial and temporal extent of data on restored sites.</w:t>
      </w:r>
    </w:p>
    <w:p>
      <w:pPr>
        <w:ind w:left="480"/>
      </w:pPr>
      <w:r>
        <w:rPr>
          <w:i/>
          <w:color w:val="666666"/>
        </w:rPr>
        <w:t>The two paragraphs above are yours, unchanged. The three below are the added connective tissue — they set up why the null is a planned deliverable rather than a failure, so the Discussion does not arrive as a surprise.</w:t>
      </w:r>
    </w:p>
    <w:p>
      <w:r>
        <w:rPr>
          <w:i w:val="0"/>
        </w:rPr>
        <w:t xml:space="preserve">Peatlands are a disproportionate share of North Carolina's terrestrial carbon stock, and drained pocosin peat is vulnerable to deep, smoldering ground fire that consumes carbon accumulated over centuries. Rewetting raises the water table, and the mechanism by which it is expected to reduce emissions is by limiting how deep a fire burns rather than whether or how widely one burns </w:t>
      </w:r>
      <w:r>
        <w:rPr>
          <w:b/>
          <w:i w:val="0"/>
          <w:highlight w:val="yellow"/>
        </w:rPr>
        <w:t>[[CHECK: Richardson et al. 2022; this framing is the crux of §4.2 — see `null_results_and_next_steps.md` §2]]</w:t>
      </w:r>
      <w:r>
        <w:rPr>
          <w:i w:val="0"/>
        </w:rPr>
        <w:t xml:space="preserve">. This distinction between burn </w:t>
      </w:r>
      <w:r>
        <w:rPr>
          <w:i/>
        </w:rPr>
        <w:t>extent</w:t>
      </w:r>
      <w:r>
        <w:rPr>
          <w:i w:val="0"/>
        </w:rPr>
        <w:t xml:space="preserve"> and burn </w:t>
      </w:r>
      <w:r>
        <w:rPr>
          <w:i/>
        </w:rPr>
        <w:t>depth</w:t>
      </w:r>
      <w:r>
        <w:rPr>
          <w:i w:val="0"/>
        </w:rPr>
        <w:t xml:space="preserve"> recurs throughout the report and is the main scientific finding.</w:t>
      </w:r>
    </w:p>
    <w:p>
      <w:r>
        <w:rPr>
          <w:i w:val="0"/>
        </w:rPr>
        <w:t xml:space="preserve">Restored pocosins still burn at the surface. Surface fire in undrained pocosin wetlands is common and occurs naturally at fire return intervals on the order of 20–80 years, and most such fires are low severity with respect to peat combustion </w:t>
      </w:r>
      <w:r>
        <w:rPr>
          <w:b/>
          <w:i w:val="0"/>
          <w:highlight w:val="yellow"/>
        </w:rPr>
        <w:t>[[CHECK: Richardson et al. 2022 §3.7 — quote is paraphrased from `null_results_and_next_steps.md`; confirm against the PDF before quoting]]</w:t>
      </w:r>
      <w:r>
        <w:rPr>
          <w:i w:val="0"/>
        </w:rPr>
        <w:t>. Burned area, the quantity a 300 m satellite product can measure, is therefore not the quantity restoration is expected to change.</w:t>
      </w:r>
    </w:p>
    <w:p>
      <w:r>
        <w:rPr>
          <w:b/>
          <w:i w:val="0"/>
          <w:highlight w:val="yellow"/>
        </w:rPr>
        <w:t>[[FIG 1: North Carolina peat extent — the peatland mask overlaid on NC, with completed TNC restoration sites marked. You already have this figure; drop it in as-is.]]</w:t>
      </w:r>
    </w:p>
    <w:p>
      <w:pPr>
        <w:ind w:left="480"/>
      </w:pPr>
      <w:r>
        <w:rPr>
          <w:i/>
        </w:rPr>
        <w:t xml:space="preserve">Figure 1. North Carolina peat extent. Peat is defined as gSSURGO major-histosol percentage </w:t>
      </w:r>
      <w:r>
        <w:rPr>
          <w:b/>
          <w:i/>
          <w:highlight w:val="yellow"/>
        </w:rPr>
        <w:t>[[CHECK: &gt; 0% for the extent map, ≥ 80% for the analysis frame — say which this figure shows]]</w:t>
      </w:r>
      <w:r>
        <w:rPr>
          <w:i/>
        </w:rPr>
        <w:t xml:space="preserve">, from Lilleskov et al. (2025). </w:t>
      </w:r>
      <w:r>
        <w:rPr>
          <w:b/>
          <w:i/>
          <w:highlight w:val="yellow"/>
        </w:rPr>
        <w:t>[[TODO: describe what the restoration site markers show.]]</w:t>
      </w:r>
    </w:p>
    <w:p>
      <w:r>
        <w:rPr>
          <w:b/>
          <w:i w:val="0"/>
          <w:highlight w:val="yellow"/>
        </w:rPr>
        <w:t>[[TAB 1: Completed TNC restoration sites — site name, area (ha), restoration completion year (`End_Yr`), and whether the site has both pre- and post-restoration years under each fire product. This replaces the "put in a figure of sites with their years" idea from your comment and is much less work than a map. Source: `NC_Pocosin_Restoration_Sites_2026.shp` via `load_treated_units`; the pre/post columns come from `design_summary`.]]</w:t>
      </w:r>
    </w:p>
    <w:p>
      <w:pPr>
        <w:ind w:left="480"/>
      </w:pPr>
      <w:r>
        <w:rPr>
          <w:i/>
        </w:rPr>
        <w:t xml:space="preserve">Table 1. Completed peatland restoration sites used as treated units. Sites without both a pre-restoration and a post-restoration year under a given fire product cannot contribute to the difference-in-differences estimate and are listed for completeness. </w:t>
      </w:r>
      <w:r>
        <w:rPr>
          <w:b/>
          <w:i/>
          <w:highlight w:val="yellow"/>
        </w:rPr>
        <w:t>[[NUM: under FireCCIS311 (2019–2024) only 3 of 6 sites are usable; under MCD64A1 (2001–2024) all 6 are.]]</w:t>
      </w:r>
    </w:p>
    <w:p>
      <w:pPr>
        <w:jc w:val="center"/>
      </w:pPr>
      <w:r>
        <w:rPr>
          <w:i/>
          <w:color w:val="666666"/>
        </w:rPr>
        <w:t xml:space="preserve"> </w:t>
      </w:r>
      <w:r>
        <w:rPr>
          <w:i w:val="0"/>
          <w:color w:val="666666"/>
        </w:rPr>
        <w:t xml:space="preserve"> *</w:t>
      </w:r>
    </w:p>
    <w:p>
      <w:pPr>
        <w:pStyle w:val="Heading2"/>
      </w:pPr>
      <w:r>
        <w:rPr>
          <w:i w:val="0"/>
        </w:rPr>
        <w:t>2. Methods</w:t>
      </w:r>
    </w:p>
    <w:p>
      <w:pPr>
        <w:pStyle w:val="Heading3"/>
      </w:pPr>
      <w:r>
        <w:rPr>
          <w:i w:val="0"/>
        </w:rPr>
        <w:t>2.1 Data sources</w:t>
      </w:r>
    </w:p>
    <w:p>
      <w:r>
        <w:rPr>
          <w:i w:val="0"/>
        </w:rPr>
        <w:t xml:space="preserve">All datasets compiled for this project — including those not used in the analyses reported here — are catalogued in </w:t>
      </w:r>
      <w:r>
        <w:rPr>
          <w:rFonts w:ascii="Consolas" w:hAnsi="Consolas"/>
          <w:i w:val="0"/>
        </w:rPr>
        <w:t>data_inventory.csv</w:t>
      </w:r>
      <w:r>
        <w:rPr>
          <w:i w:val="0"/>
        </w:rPr>
        <w:t>, which records each layer's source, native resolution, temporal coverage, units, and Box path. The datasets that enter the analyses below are summarized in Table 2.</w:t>
      </w:r>
    </w:p>
    <w:p>
      <w:pPr>
        <w:ind w:left="480"/>
      </w:pPr>
      <w:r>
        <w:rPr>
          <w:i/>
          <w:color w:val="666666"/>
        </w:rPr>
        <w:t xml:space="preserve">Your comment 4 says "just point to data_inventory.csv entirely and get rid of this table." I'd keep a </w:t>
      </w:r>
      <w:r>
        <w:rPr>
          <w:b/>
          <w:i/>
          <w:color w:val="666666"/>
        </w:rPr>
        <w:t>short</w:t>
      </w:r>
      <w:r>
        <w:rPr>
          <w:i/>
          <w:color w:val="666666"/>
        </w:rPr>
        <w:t xml:space="preserve"> version — a reader should not have to open a CSV to know what the analysis ran on — but cut it to the three groups below rather than every layer. That is ~20 rows instead of ~60.</w:t>
      </w:r>
    </w:p>
    <w:p>
      <w:r>
        <w:rPr>
          <w:b/>
          <w:i w:val="0"/>
          <w:highlight w:val="yellow"/>
        </w:rPr>
        <w:t>[[TAB 2a: Fire products assessed. Columns: product, phenomenon (occurrence / burned area / severity), native resolution, temporal coverage, update frequency, citation. Rows: VIIRS active fire; MODIS MCD64A1; FireCCI51; FireCCIS311; GABAM; MODIS MOSEV; MTBS; SE FireMap. This table already exists nearly verbatim on slides 75/97/100 of the deck — copy it across.]]</w:t>
      </w:r>
    </w:p>
    <w:p>
      <w:r>
        <w:rPr>
          <w:b/>
          <w:i w:val="0"/>
          <w:highlight w:val="yellow"/>
        </w:rPr>
        <w:t>[[TAB 2b: Reference ("ground truth") fire-perimeter datasets. Rows: NIFC_IFPH (Interagency Wildland Fire Perimeter History, 1980–present); GEOMAC (Historic Perimeters Combined, 2000–2018); TNC Coastal Plain burn history (2025); TNC Sandhills burn history (2025). Note in the caption that TNC Sandhills has no overlap with the ≥80% histosol peat mask and so is reported for NC-wide validation only, and that fires smaller than 100 acres were excluded from NIFC_IFPH and GEOMAC. Descriptions: pull from `data_inventory.csv`. Source: slide 103.]]</w:t>
      </w:r>
    </w:p>
    <w:p>
      <w:r>
        <w:rPr>
          <w:b/>
          <w:i w:val="0"/>
          <w:highlight w:val="yellow"/>
        </w:rPr>
        <w:t>[[TAB 2c: Covariate layers used in matching and modeling. Columns: variable, source, native resolution, temporal extent, units, role (matching / outcome / exact-match key). Rows: restoration status (`NC_Pocosin_Restoration_Sites_2026.shp`); elevation (Copernicus GLO-30 DEM, 30 m); histosol % (gSSURGO, Lilleskov et al. 2025, 30 m); mean annual precipitation, mean daily Tmax, mean daily Tmin (GHCN daily, IDW-interpolated, 1991–2020 normals); growing degree days; PDSI drought index (per-year); HAND drainage; soil organic matter %; soil available water capacity; soil drainage class (exact-match key); soil site index; soil water table depth (**dropped** — see §2.4); LANDFIRE land cover (exact-match key). Slide 59 has the first five rows already formatted; the soil/GDD layers come from `get_climate&amp;soil_data_updated.R`.]]</w:t>
      </w:r>
    </w:p>
    <w:p>
      <w:pPr>
        <w:ind w:left="480"/>
      </w:pPr>
      <w:r>
        <w:rPr>
          <w:i/>
        </w:rPr>
        <w:t xml:space="preserve">Table 2. Datasets used in this report. See </w:t>
      </w:r>
      <w:r>
        <w:rPr>
          <w:rFonts w:ascii="Consolas" w:hAnsi="Consolas"/>
          <w:i/>
        </w:rPr>
        <w:t>data_inventory.csv</w:t>
      </w:r>
      <w:r>
        <w:rPr>
          <w:i/>
        </w:rPr>
        <w:t xml:space="preserve"> for the full inventory, including layers compiled but not used.</w:t>
      </w:r>
    </w:p>
    <w:p>
      <w:r>
        <w:rPr>
          <w:b/>
          <w:i w:val="0"/>
        </w:rPr>
        <w:t>Reference datasets are not a spatially exhaustive census.</w:t>
      </w:r>
      <w:r>
        <w:rPr>
          <w:i w:val="0"/>
        </w:rPr>
        <w:t xml:space="preserve"> A fire perimeter is truth </w:t>
      </w:r>
      <w:r>
        <w:rPr>
          <w:i/>
        </w:rPr>
        <w:t>within its own footprint</w:t>
      </w:r>
      <w:r>
        <w:rPr>
          <w:i w:val="0"/>
        </w:rPr>
        <w:t xml:space="preserve"> only: it records that a mapped fire happened there, not that no fire happened elsewhere. Reference and product datasets are therefore kept in separate registries and are not treated symmetrically — a product detection outside a perimeter is not automatically a false positive.</w:t>
      </w:r>
    </w:p>
    <w:p>
      <w:pPr>
        <w:pStyle w:val="Heading3"/>
      </w:pPr>
      <w:r>
        <w:rPr>
          <w:i w:val="0"/>
        </w:rPr>
        <w:t>2.2 Common grid and mask preprocessing</w:t>
      </w:r>
    </w:p>
    <w:p>
      <w:pPr>
        <w:ind w:left="480"/>
      </w:pPr>
      <w:r>
        <w:rPr>
          <w:i/>
          <w:color w:val="666666"/>
        </w:rPr>
        <w:t xml:space="preserve">Your comment 5 suggests renaming "Preprocessing." I'd call this section </w:t>
      </w:r>
      <w:r>
        <w:rPr>
          <w:b/>
          <w:i/>
          <w:color w:val="666666"/>
        </w:rPr>
        <w:t>"Common grid and mask preprocessing"</w:t>
      </w:r>
      <w:r>
        <w:rPr>
          <w:i/>
          <w:color w:val="666666"/>
        </w:rPr>
        <w:t xml:space="preserve"> — it is specifically about getting every layer onto one CRS, resolution, and grid.</w:t>
      </w:r>
    </w:p>
    <w:p>
      <w:r>
        <w:rPr>
          <w:i w:val="0"/>
        </w:rPr>
        <w:t xml:space="preserve">Every raster and vector layer was clipped to North Carolina and reprojected to EPSG:5070 (NAD83 / CONUS Albers), an equal-area projection in metres, so that areas are meaningful and all distances and buffers are in metres. Layers were then warped onto a single product-independent common grid: </w:t>
      </w:r>
      <w:r>
        <w:rPr>
          <w:b/>
          <w:i w:val="0"/>
        </w:rPr>
        <w:t>300 m for the modeling analyses</w:t>
      </w:r>
      <w:r>
        <w:rPr>
          <w:i w:val="0"/>
        </w:rPr>
        <w:t xml:space="preserve"> and </w:t>
      </w:r>
      <w:r>
        <w:rPr>
          <w:b/>
          <w:i w:val="0"/>
        </w:rPr>
        <w:t>500 m for the fire-product comparison</w:t>
      </w:r>
      <w:r>
        <w:rPr>
          <w:i w:val="0"/>
        </w:rPr>
        <w:t>, the latter set by the coarsest product compared (MODIS, 500 m) so that spatial resolution is not a confound in the agreement metrics.</w:t>
      </w:r>
    </w:p>
    <w:p>
      <w:r>
        <w:rPr>
          <w:i w:val="0"/>
        </w:rPr>
        <w:t>Warping rules depend on variable type. Continuous layers (e.g. elevation) are resampled by area-weighted average, so a single 300 m cell takes the mean of the 30 m cells within its extent. Categorical layers (e.g. land cover) take the majority class within the cell. Fire products are aggregated with a "max" rule — any sub-cell burn lights the whole cell — and monthly products (MCD64A1, FireCCI51, MOSEV) are OR'd into annual layers, with within-year timing preserved upstream for a possible future seasonality analysis.</w:t>
      </w:r>
    </w:p>
    <w:p>
      <w:r>
        <w:rPr>
          <w:i w:val="0"/>
        </w:rPr>
        <w:t xml:space="preserve">Peat extent was derived from the gSSURGO major-histosol percentage layer of Lilleskov et al. (2025). Two masks were built: a </w:t>
      </w:r>
      <w:r>
        <w:rPr>
          <w:b/>
          <w:i w:val="0"/>
        </w:rPr>
        <w:t>binary extent mask</w:t>
      </w:r>
      <w:r>
        <w:rPr>
          <w:i w:val="0"/>
        </w:rPr>
        <w:t xml:space="preserve"> where histosol % &gt; 0, with adjacent peat pixels merged into contiguous blobs, used for the descriptive fire-product comparison; and an </w:t>
      </w:r>
      <w:r>
        <w:rPr>
          <w:b/>
          <w:i w:val="0"/>
        </w:rPr>
        <w:t>analysis frame</w:t>
      </w:r>
      <w:r>
        <w:rPr>
          <w:i w:val="0"/>
        </w:rPr>
        <w:t xml:space="preserve"> of high-confidence peat where histosol % ≥ 80, used for all matching and modeling. The 80% threshold keeps non-peat noise out of the covariate distributions. Comparing the two masks showed little difference in peat extent </w:t>
      </w:r>
      <w:r>
        <w:rPr>
          <w:b/>
          <w:i w:val="0"/>
          <w:highlight w:val="yellow"/>
        </w:rPr>
        <w:t>[[CHECK: slide 73 — "not too much difference"; add the actual area numbers if you have them]]</w:t>
      </w:r>
      <w:r>
        <w:rPr>
          <w:i w:val="0"/>
        </w:rPr>
        <w:t>.</w:t>
      </w:r>
    </w:p>
    <w:p>
      <w:pPr>
        <w:pStyle w:val="Heading3"/>
      </w:pPr>
      <w:r>
        <w:rPr>
          <w:i w:val="0"/>
        </w:rPr>
        <w:t>2.3 Fire-product comparison and validation against reference perimeters</w:t>
      </w:r>
    </w:p>
    <w:p>
      <w:pPr>
        <w:ind w:left="480"/>
      </w:pPr>
      <w:r>
        <w:rPr>
          <w:i/>
          <w:color w:val="666666"/>
        </w:rPr>
        <w:t xml:space="preserve">This section is your comment 12 — "add a methods section on what I did for characterizing fire occurrence, burned area, and severity across fire products." It is drafted here from Appendix A of </w:t>
      </w:r>
      <w:r>
        <w:rPr>
          <w:rFonts w:ascii="Consolas" w:hAnsi="Consolas"/>
          <w:i/>
          <w:color w:val="666666"/>
        </w:rPr>
        <w:t>modeling_notebook_explained.md</w:t>
      </w:r>
      <w:r>
        <w:rPr>
          <w:i/>
          <w:color w:val="666666"/>
        </w:rPr>
        <w:t xml:space="preserve"> and slides 77/107. Comments 8 and 14 (define the metrics, define precision) are folded in.</w:t>
      </w:r>
    </w:p>
    <w:p>
      <w:r>
        <w:rPr>
          <w:b/>
          <w:i w:val="0"/>
        </w:rPr>
        <w:t>Agreement between products.</w:t>
      </w:r>
      <w:r>
        <w:rPr>
          <w:i w:val="0"/>
        </w:rPr>
        <w:t xml:space="preserve"> Products were compared pairwise on the common grid. Because burned-area products are binary maps, agreement is reported with binary metrics — Jaccard index (intersection over union), Cohen's κ, and percent agreement — rather than Pearson correlation, which on binary data is only the phi coefficient. A separate temporal correlation matrix (Pearson and Spearman of annual burned-area totals) captures year-to-year co-variation. Pairwise scatter of per-cell burned area is fitted with total least squares rather than ordinary least squares, because both products carry measurement error and OLS would bias the slope by treating one axis as error-free; RMSE is reported against the 1:1 line. Annual burned area is reported both at native resolution and on the common grid, and as a percentage of the AOI. Severity products, whose units are not comparable across products (CBI vs dNBR vs MTBS classes), are compared with Spearman rank correlation only.</w:t>
      </w:r>
    </w:p>
    <w:p>
      <w:r>
        <w:rPr>
          <w:b/>
          <w:i w:val="0"/>
        </w:rPr>
        <w:t>Validation against reference perimeters.</w:t>
      </w:r>
      <w:r>
        <w:rPr>
          <w:i w:val="0"/>
        </w:rPr>
        <w:t xml:space="preserve"> Reference fire perimeters were rasterized to the same EPSG:5070 grid as the fire products, with </w:t>
      </w:r>
      <w:r>
        <w:rPr>
          <w:rFonts w:ascii="Consolas" w:hAnsi="Consolas"/>
          <w:i w:val="0"/>
        </w:rPr>
        <w:t>all_touched=True</w:t>
      </w:r>
      <w:r>
        <w:rPr>
          <w:i w:val="0"/>
        </w:rPr>
        <w:t xml:space="preserve"> so that small reference fires survive the 500 m grid — this matches the products' own "max" aggregation convention. Each fire event is scored against the product layer </w:t>
      </w:r>
      <w:r>
        <w:rPr>
          <w:b/>
          <w:i w:val="0"/>
        </w:rPr>
        <w:t>for its own year</w:t>
      </w:r>
      <w:r>
        <w:rPr>
          <w:i w:val="0"/>
        </w:rPr>
        <w:t>; events are never pooled into a timeless union. For each event:</w:t>
      </w:r>
    </w:p>
    <w:p>
      <w:pPr>
        <w:pStyle w:val="ListBullet"/>
      </w:pPr>
      <w:r>
        <w:rPr>
          <w:b/>
          <w:i w:val="0"/>
        </w:rPr>
        <w:t>tp</w:t>
      </w:r>
      <w:r>
        <w:rPr>
          <w:i w:val="0"/>
        </w:rPr>
        <w:t xml:space="preserve"> (true positive) = burned area inside the reference perimeter that the</w:t>
      </w:r>
    </w:p>
    <w:p>
      <w:r>
        <w:rPr>
          <w:i w:val="0"/>
        </w:rPr>
        <w:t>product detected;</w:t>
      </w:r>
    </w:p>
    <w:p>
      <w:pPr>
        <w:pStyle w:val="ListBullet"/>
      </w:pPr>
      <w:r>
        <w:rPr>
          <w:b/>
          <w:i w:val="0"/>
        </w:rPr>
        <w:t>fn</w:t>
      </w:r>
      <w:r>
        <w:rPr>
          <w:i w:val="0"/>
        </w:rPr>
        <w:t xml:space="preserve"> (false negative) = burned area inside the reference perimeter that the</w:t>
      </w:r>
    </w:p>
    <w:p>
      <w:r>
        <w:rPr>
          <w:i w:val="0"/>
        </w:rPr>
        <w:t>product did not detect;</w:t>
      </w:r>
    </w:p>
    <w:p>
      <w:pPr>
        <w:pStyle w:val="ListBullet"/>
      </w:pPr>
      <w:r>
        <w:rPr>
          <w:b/>
          <w:i w:val="0"/>
        </w:rPr>
        <w:t>Recall</w:t>
      </w:r>
      <w:r>
        <w:rPr>
          <w:i w:val="0"/>
        </w:rPr>
        <w:t xml:space="preserve"> = tp / (tp + fn), the fraction of a known fire's extent the product</w:t>
      </w:r>
    </w:p>
    <w:p>
      <w:r>
        <w:rPr>
          <w:i w:val="0"/>
        </w:rPr>
        <w:t>recovered. Recall is 1 − omission error, and is the headline metric.</w:t>
      </w:r>
    </w:p>
    <w:p>
      <w:pPr>
        <w:pStyle w:val="ListBullet"/>
      </w:pPr>
      <w:r>
        <w:rPr>
          <w:b/>
          <w:i w:val="0"/>
        </w:rPr>
        <w:t>Recall (pooled)</w:t>
      </w:r>
      <w:r>
        <w:rPr>
          <w:i w:val="0"/>
        </w:rPr>
        <w:t xml:space="preserve"> = Σtp / Σ(tp + fn) across all events. Cell-weighted, so</w:t>
      </w:r>
    </w:p>
    <w:p>
      <w:r>
        <w:rPr>
          <w:i w:val="0"/>
        </w:rPr>
        <w:t>dominated by large fires.</w:t>
      </w:r>
    </w:p>
    <w:p>
      <w:pPr>
        <w:pStyle w:val="ListBullet"/>
      </w:pPr>
      <w:r>
        <w:rPr>
          <w:b/>
          <w:i w:val="0"/>
        </w:rPr>
        <w:t>Recall (mean event)</w:t>
      </w:r>
      <w:r>
        <w:rPr>
          <w:i w:val="0"/>
        </w:rPr>
        <w:t xml:space="preserve"> = the unweighted mean of per-event recall. Counts every</w:t>
      </w:r>
    </w:p>
    <w:p>
      <w:r>
        <w:rPr>
          <w:i w:val="0"/>
        </w:rPr>
        <w:t>fire equally regardless of size, so it surfaces small-fire omission — the failure mode that matters most in a small-fire landscape like the NC pocosins.</w:t>
      </w:r>
    </w:p>
    <w:p>
      <w:pPr>
        <w:pStyle w:val="ListBullet"/>
      </w:pPr>
      <w:r>
        <w:rPr>
          <w:b/>
          <w:i w:val="0"/>
        </w:rPr>
        <w:t>Detection rate</w:t>
      </w:r>
      <w:r>
        <w:rPr>
          <w:i w:val="0"/>
        </w:rPr>
        <w:t xml:space="preserve"> = the fraction of reference fire events for which the</w:t>
      </w:r>
    </w:p>
    <w:p>
      <w:r>
        <w:rPr>
          <w:i w:val="0"/>
        </w:rPr>
        <w:t xml:space="preserve">product mapped </w:t>
      </w:r>
      <w:r>
        <w:rPr>
          <w:i/>
        </w:rPr>
        <w:t>any</w:t>
      </w:r>
      <w:r>
        <w:rPr>
          <w:i w:val="0"/>
        </w:rPr>
        <w:t xml:space="preserve"> burned pixel inside the perimeter. This is the meaningful metric for occurrence products such as VIIRS, which detect a burning front rather than burned area.</w:t>
      </w:r>
    </w:p>
    <w:p>
      <w:r>
        <w:rPr>
          <w:b/>
          <w:i w:val="0"/>
        </w:rPr>
        <w:t>Precision is reported only conditionally.</w:t>
      </w:r>
      <w:r>
        <w:rPr>
          <w:i w:val="0"/>
        </w:rPr>
        <w:t xml:space="preserve"> Precision — the fraction of a product's mapped burn that falls inside a reference perimeter — is computed per event within a buffered window (default 5 km) and is explicitly flagged as conditional, for two reasons. First, a product burn outside an incomplete reference may be a real small fire the reference simply never recorded. Second, a perimeter is an outer boundary that typically contains unburned islands, so it overstates true burned area — which depresses precision and inflates apparent omission. Recall is therefore the metric the recommendations rest on.</w:t>
      </w:r>
    </w:p>
    <w:p>
      <w:r>
        <w:rPr>
          <w:b/>
          <w:i w:val="0"/>
        </w:rPr>
        <w:t>Severity was not validated against perimeters</w:t>
      </w:r>
      <w:r>
        <w:rPr>
          <w:i w:val="0"/>
        </w:rPr>
        <w:t>, because fire perimeters carry no severity information and no field CBI data were available. Perimeters were instead used to restrict the severity cross-comparison (SE FireMap vs MOSEV vs MTBS) to known-burned cells.</w:t>
      </w:r>
    </w:p>
    <w:p>
      <w:r>
        <w:rPr>
          <w:i w:val="0"/>
        </w:rPr>
        <w:t xml:space="preserve">Fires smaller than 100 acres were excluded from the NIFC_IFPH and GEOMAC reference sets </w:t>
      </w:r>
      <w:r>
        <w:rPr>
          <w:b/>
          <w:i w:val="0"/>
          <w:highlight w:val="yellow"/>
        </w:rPr>
        <w:t>[[TODO: one clause saying why — small-perimeter geolocation error at 500 m, or reference completeness? Whichever it was.]]</w:t>
      </w:r>
      <w:r>
        <w:rPr>
          <w:i w:val="0"/>
        </w:rPr>
        <w:t>. NIFC_IFPH and GEOMAC overlap in time and record many of the same fires, so they are reported separately as cross-checks rather than pooled, which would double-count.</w:t>
      </w:r>
    </w:p>
    <w:p>
      <w:pPr>
        <w:pStyle w:val="Heading3"/>
      </w:pPr>
      <w:r>
        <w:rPr>
          <w:i w:val="0"/>
        </w:rPr>
        <w:t>2.4 Matched, staggered difference-in-differences design</w:t>
      </w:r>
    </w:p>
    <w:p>
      <w:r>
        <w:rPr>
          <w:i w:val="0"/>
        </w:rPr>
        <w:t>The restoration analysis follows the design of Castro et al. (2026), who evaluated canal-block rewetting and peat fire in Kalimantan, transplanted to the North Carolina pocosins.</w:t>
      </w:r>
    </w:p>
    <w:p>
      <w:r>
        <w:rPr>
          <w:b/>
          <w:i w:val="0"/>
        </w:rPr>
        <w:t>Estimand.</w:t>
      </w:r>
      <w:r>
        <w:rPr>
          <w:i w:val="0"/>
        </w:rPr>
        <w:t xml:space="preserve"> The target is the average treatment effect on the treated (ATT): for each restored pixel in each year, the difference in burn probability between the world in which it was restored and the world in which it was not, averaged over restored pixels. The counterfactual — how often restored pixels would have burned had they not been restored — is supplied by matched, unrestored control pixels.</w:t>
      </w:r>
    </w:p>
    <w:p>
      <w:pPr>
        <w:pStyle w:val="ListBullet"/>
      </w:pPr>
      <w:r>
        <w:rPr>
          <w:b/>
          <w:i w:val="0"/>
        </w:rPr>
        <w:t>Treatment</w:t>
      </w:r>
      <w:r>
        <w:rPr>
          <w:i w:val="0"/>
        </w:rPr>
        <w:t xml:space="preserve"> = pixels inside a </w:t>
      </w:r>
      <w:r>
        <w:rPr>
          <w:i/>
        </w:rPr>
        <w:t>completed</w:t>
      </w:r>
      <w:r>
        <w:rPr>
          <w:i w:val="0"/>
        </w:rPr>
        <w:t xml:space="preserve"> restoration site, switched on from</w:t>
      </w:r>
    </w:p>
    <w:p>
      <w:r>
        <w:rPr>
          <w:i w:val="0"/>
        </w:rPr>
        <w:t>that site's restoration year (</w:t>
      </w:r>
      <w:r>
        <w:rPr>
          <w:rFonts w:ascii="Consolas" w:hAnsi="Consolas"/>
          <w:i w:val="0"/>
        </w:rPr>
        <w:t>End_Yr</w:t>
      </w:r>
      <w:r>
        <w:rPr>
          <w:i w:val="0"/>
        </w:rPr>
        <w:t>) forward.</w:t>
      </w:r>
    </w:p>
    <w:p>
      <w:pPr>
        <w:pStyle w:val="ListBullet"/>
      </w:pPr>
      <w:r>
        <w:rPr>
          <w:b/>
          <w:i w:val="0"/>
        </w:rPr>
        <w:t>Control</w:t>
      </w:r>
      <w:r>
        <w:rPr>
          <w:i w:val="0"/>
        </w:rPr>
        <w:t xml:space="preserve"> = peat pixels (≥80% histosol) outside every restoration site and</w:t>
      </w:r>
    </w:p>
    <w:p>
      <w:r>
        <w:rPr>
          <w:i w:val="0"/>
        </w:rPr>
        <w:t xml:space="preserve">its spillover halo. The spillover buffer is set to 0 m, because TNC's restoration design prevents hydrological spillover into neighbouring properties </w:t>
      </w:r>
      <w:r>
        <w:rPr>
          <w:b/>
          <w:i w:val="0"/>
          <w:highlight w:val="yellow"/>
        </w:rPr>
        <w:t>[[CHECK: this is the stated reason in the decision log — confirm it is TNC's actual rationale before asserting it]]</w:t>
      </w:r>
      <w:r>
        <w:rPr>
          <w:i w:val="0"/>
        </w:rPr>
        <w:t>; the machinery for a non-zero halo exists if a future analysis wants one.</w:t>
      </w:r>
    </w:p>
    <w:p>
      <w:pPr>
        <w:pStyle w:val="ListBullet"/>
      </w:pPr>
      <w:r>
        <w:rPr>
          <w:b/>
          <w:i w:val="0"/>
        </w:rPr>
        <w:t>Response</w:t>
      </w:r>
      <w:r>
        <w:rPr>
          <w:i w:val="0"/>
        </w:rPr>
        <w:t xml:space="preserve"> = a 0/1 "did this pixel burn this year" flag sampled from a</w:t>
      </w:r>
    </w:p>
    <w:p>
      <w:r>
        <w:rPr>
          <w:i w:val="0"/>
        </w:rPr>
        <w:t>swappable satellite burned-area product.</w:t>
      </w:r>
    </w:p>
    <w:p>
      <w:pPr>
        <w:pStyle w:val="ListBullet"/>
      </w:pPr>
      <w:r>
        <w:rPr>
          <w:b/>
          <w:i w:val="0"/>
        </w:rPr>
        <w:t>Unit of analysis</w:t>
      </w:r>
      <w:r>
        <w:rPr>
          <w:i w:val="0"/>
        </w:rPr>
        <w:t xml:space="preserve"> = pixel-year on the shared 300 m EPSG:5070 grid, tagged</w:t>
      </w:r>
    </w:p>
    <w:p>
      <w:r>
        <w:rPr>
          <w:i w:val="0"/>
        </w:rPr>
        <w:t>with site ID and year.</w:t>
      </w:r>
    </w:p>
    <w:p>
      <w:r>
        <w:rPr>
          <w:b/>
          <w:i w:val="0"/>
        </w:rPr>
        <w:t>Why not one large regression.</w:t>
      </w:r>
      <w:r>
        <w:rPr>
          <w:i w:val="0"/>
        </w:rPr>
        <w:t xml:space="preserve"> Stacking every peat pixel and fitting </w:t>
      </w:r>
      <w:r>
        <w:rPr>
          <w:rFonts w:ascii="Consolas" w:hAnsi="Consolas"/>
          <w:i w:val="0"/>
        </w:rPr>
        <w:t>burned ~ treated + covariates</w:t>
      </w:r>
      <w:r>
        <w:rPr>
          <w:i w:val="0"/>
        </w:rPr>
        <w:t xml:space="preserve"> is the right shape but is untrustworthy here for three reasons, and the pipeline exists to address each. (i) Pixels are not independent: pixels within one restoration site, or within one fire, share unmeasured conditions, so treating millions of pixels as independent shrinks standard errors toward zero and makes everything look significant — the effective sample size is closer to sites × years. (ii) Restored peat is not located like drained peat, so a plain GLM extrapolates across covariate space with no comparable control and the treatment coefficient absorbs the imbalance. (iii) Fire is rare, so ordinary logistic fits on very low event rates are biased and over-confident.</w:t>
      </w:r>
    </w:p>
    <w:p>
      <w:r>
        <w:rPr>
          <w:b/>
          <w:i w:val="0"/>
        </w:rPr>
        <w:t>Matching.</w:t>
      </w:r>
      <w:r>
        <w:rPr>
          <w:i w:val="0"/>
        </w:rPr>
        <w:t xml:space="preserve"> Treated and candidate control pixels were matched 1:1 within each year, without replacement, by minimum Mahalanobis distance in covariate space. The covariate matrix is whitened — mean-centred and multiplied by the square root of its inverse covariance matrix — so that Euclidean distance in the whitened space is Mahalanobis distance in the original space, which removes the arbitrary effect of covariate units and of correlation between covariates. Categorical covariates (land cover, soil drainage class) are matched </w:t>
      </w:r>
      <w:r>
        <w:rPr>
          <w:b/>
          <w:i w:val="0"/>
        </w:rPr>
        <w:t>exactly</w:t>
      </w:r>
      <w:r>
        <w:rPr>
          <w:i w:val="0"/>
        </w:rPr>
        <w:t>: matching is performed within category groups rather than treating a category code as a continuous dimension. A caliper of 1 standard deviation caps the acceptable distance; treated pixels with no control inside the caliper are dropped and counted.</w:t>
      </w:r>
    </w:p>
    <w:p>
      <w:r>
        <w:rPr>
          <w:b/>
          <w:i w:val="0"/>
        </w:rPr>
        <w:t>Balance.</w:t>
      </w:r>
      <w:r>
        <w:rPr>
          <w:i w:val="0"/>
        </w:rPr>
        <w:t xml:space="preserve"> Match quality is assessed with the standardized mean difference (SMD) per covariate — (mean treated − mean control) / pooled SD — before and after matching, displayed as a love plot. Improvement in SMD is the acceptance test for the whole design.</w:t>
      </w:r>
    </w:p>
    <w:p>
      <w:r>
        <w:rPr>
          <w:b/>
          <w:i w:val="0"/>
        </w:rPr>
        <w:t>Propensity and prognostic scores.</w:t>
      </w:r>
      <w:r>
        <w:rPr>
          <w:i w:val="0"/>
        </w:rPr>
        <w:t xml:space="preserve"> Rather than matching on raw covariates alone, the design also uses two scalar summaries:</w:t>
      </w:r>
    </w:p>
    <w:p>
      <w:pPr>
        <w:pStyle w:val="ListBullet"/>
      </w:pPr>
      <w:r>
        <w:rPr>
          <w:i w:val="0"/>
        </w:rPr>
        <w:t xml:space="preserve">the </w:t>
      </w:r>
      <w:r>
        <w:rPr>
          <w:b/>
          <w:i w:val="0"/>
        </w:rPr>
        <w:t>propensity score</w:t>
      </w:r>
      <w:r>
        <w:rPr>
          <w:i w:val="0"/>
        </w:rPr>
        <w:t xml:space="preserve">, Pr(treated in year </w:t>
      </w:r>
      <w:r>
        <w:rPr>
          <w:i/>
        </w:rPr>
        <w:t>g</w:t>
      </w:r>
      <w:r>
        <w:rPr>
          <w:i w:val="0"/>
        </w:rPr>
        <w:t xml:space="preserve"> | covariates), estimated by</w:t>
      </w:r>
    </w:p>
    <w:p>
      <w:r>
        <w:rPr>
          <w:i w:val="0"/>
        </w:rPr>
        <w:t>logistic regression and fit only for years containing treated sites; and</w:t>
      </w:r>
    </w:p>
    <w:p>
      <w:pPr>
        <w:pStyle w:val="ListBullet"/>
      </w:pPr>
      <w:r>
        <w:rPr>
          <w:i w:val="0"/>
        </w:rPr>
        <w:t xml:space="preserve">the </w:t>
      </w:r>
      <w:r>
        <w:rPr>
          <w:b/>
          <w:i w:val="0"/>
        </w:rPr>
        <w:t>prognostic score</w:t>
      </w:r>
      <w:r>
        <w:rPr>
          <w:i w:val="0"/>
        </w:rPr>
        <w:t>, a pixel's baseline fire risk absent treatment,</w:t>
      </w:r>
    </w:p>
    <w:p>
      <w:r>
        <w:rPr>
          <w:i w:val="0"/>
        </w:rPr>
        <w:t>Pr(burned | covariates), fit on control pixels only and then predicted for both treated and control pixels.</w:t>
      </w:r>
    </w:p>
    <w:p>
      <w:r>
        <w:rPr>
          <w:i w:val="0"/>
        </w:rPr>
        <w:t>Matching on these two scores, together with a temporal fire lag (burn status in the previous two years) and a spatial fire lag (summed burn status of the four neighbouring pixels in the current year), collapses a high-dimensional matching problem into a low-dimensional one and reproduces Castro et al.'s matching variables.</w:t>
      </w:r>
    </w:p>
    <w:p>
      <w:r>
        <w:rPr>
          <w:b/>
          <w:i w:val="0"/>
        </w:rPr>
        <w:t>Estimator.</w:t>
      </w:r>
      <w:r>
        <w:rPr>
          <w:i w:val="0"/>
        </w:rPr>
        <w:t xml:space="preserve"> The canonical two-period ATT — (treated post − treated pre) − (control post − control pre) — is biased under staggered treatment adoption because it reuses already-treated units as controls. The analysis therefore uses the Callaway &amp; Sant'Anna (2021) staggered difference-in-differences estimator via the Python </w:t>
      </w:r>
      <w:r>
        <w:rPr>
          <w:rFonts w:ascii="Consolas" w:hAnsi="Consolas"/>
          <w:i w:val="0"/>
        </w:rPr>
        <w:t>differences</w:t>
      </w:r>
      <w:r>
        <w:rPr>
          <w:i w:val="0"/>
        </w:rPr>
        <w:t xml:space="preserve"> package, which (i) uses only never-treated and not-yet-treated pixels as controls, and (ii) is doubly robust: for each treatment cohort </w:t>
      </w:r>
      <w:r>
        <w:rPr>
          <w:i/>
        </w:rPr>
        <w:t>g</w:t>
      </w:r>
      <w:r>
        <w:rPr>
          <w:i w:val="0"/>
        </w:rPr>
        <w:t xml:space="preserve"> and calendar year </w:t>
      </w:r>
      <w:r>
        <w:rPr>
          <w:i/>
        </w:rPr>
        <w:t>t</w:t>
      </w:r>
      <w:r>
        <w:rPr>
          <w:i w:val="0"/>
        </w:rPr>
        <w:t xml:space="preserve"> it fits both an outcome regression m̂(X) = E[ΔY | X, control] and a propensity model ê(X) = Pr(cohort </w:t>
      </w:r>
      <w:r>
        <w:rPr>
          <w:i/>
        </w:rPr>
        <w:t>g</w:t>
      </w:r>
      <w:r>
        <w:rPr>
          <w:i w:val="0"/>
        </w:rPr>
        <w:t xml:space="preserve"> | X), estimating ATT(g,t) as the mean residual over treated pixels minus the propensity-weighted mean residual over controls. Parallel trends then only has to hold </w:t>
      </w:r>
      <w:r>
        <w:rPr>
          <w:i/>
        </w:rPr>
        <w:t>conditional on</w:t>
      </w:r>
      <w:r>
        <w:rPr>
          <w:i w:val="0"/>
        </w:rPr>
        <w:t xml:space="preserve"> covariates X, and the counterfactual is estimated two independent ways.</w:t>
      </w:r>
    </w:p>
    <w:p>
      <w:r>
        <w:rPr>
          <w:i w:val="0"/>
        </w:rPr>
        <w:t xml:space="preserve">Only treatment cohorts satisfying </w:t>
      </w:r>
      <w:r>
        <w:rPr>
          <w:rFonts w:ascii="Consolas" w:hAnsi="Consolas"/>
          <w:i w:val="0"/>
        </w:rPr>
        <w:t>first outcome year &lt; g ≤ last outcome year</w:t>
      </w:r>
      <w:r>
        <w:rPr>
          <w:i w:val="0"/>
        </w:rPr>
        <w:t xml:space="preserve"> are retained, since a cohort with no pre-period or no post-period cannot contribute. Under FireCCIS311 (2019–2024) this leaves the </w:t>
      </w:r>
      <w:r>
        <w:rPr>
          <w:b/>
          <w:i w:val="0"/>
          <w:highlight w:val="yellow"/>
        </w:rPr>
        <w:t>[[NUM: 2021 and 2023]]</w:t>
      </w:r>
      <w:r>
        <w:rPr>
          <w:i w:val="0"/>
        </w:rPr>
        <w:t xml:space="preserve"> cohorts; under MCD64A1 </w:t>
      </w:r>
      <w:r>
        <w:rPr>
          <w:b/>
          <w:i w:val="0"/>
          <w:highlight w:val="yellow"/>
        </w:rPr>
        <w:t>[[NUM: which cohorts?]]</w:t>
      </w:r>
      <w:r>
        <w:rPr>
          <w:i w:val="0"/>
        </w:rPr>
        <w:t>.</w:t>
      </w:r>
    </w:p>
    <w:p>
      <w:r>
        <w:rPr>
          <w:b/>
          <w:i w:val="0"/>
        </w:rPr>
        <w:t>Standard errors</w:t>
      </w:r>
      <w:r>
        <w:rPr>
          <w:i w:val="0"/>
        </w:rPr>
        <w:t xml:space="preserve"> are clustered on restoration site, not on pixel, because treatment is assigned at the site level and fire arrives as a small number of large, landscape-scale events that paint thousands of contiguous pixels in a single draw.</w:t>
      </w:r>
    </w:p>
    <w:p>
      <w:r>
        <w:rPr>
          <w:b/>
          <w:i w:val="0"/>
        </w:rPr>
        <w:t>Second estimation route.</w:t>
      </w:r>
      <w:r>
        <w:rPr>
          <w:i w:val="0"/>
        </w:rPr>
        <w:t xml:space="preserve"> In parallel, a matched logistic regression was fit in levels: </w:t>
      </w:r>
      <w:r>
        <w:rPr>
          <w:rFonts w:ascii="Consolas" w:hAnsi="Consolas"/>
          <w:i w:val="0"/>
        </w:rPr>
        <w:t>burned ~ treated + covariates</w:t>
      </w:r>
      <w:r>
        <w:rPr>
          <w:i w:val="0"/>
        </w:rPr>
        <w:t xml:space="preserve"> on the covariate-matched pixel-years, with cluster-robust standard errors on restoration site, reported as odds ratios with 95% confidence intervals (continuous covariates standardized before fitting). An odds ratio below 1 for </w:t>
      </w:r>
      <w:r>
        <w:rPr>
          <w:rFonts w:ascii="Consolas" w:hAnsi="Consolas"/>
          <w:i w:val="0"/>
        </w:rPr>
        <w:t>treated</w:t>
      </w:r>
      <w:r>
        <w:rPr>
          <w:i w:val="0"/>
        </w:rPr>
        <w:t xml:space="preserve"> would indicate that restoration lowers the odds of fire. This route shares the entire matching front end with the DiD route but does not use the propensity and prognostic scores. Agreement between the two routes would be the strongest evidence of a design-robust effect.</w:t>
      </w:r>
    </w:p>
    <w:p>
      <w:r>
        <w:rPr>
          <w:b/>
          <w:i w:val="0"/>
        </w:rPr>
        <w:t>Covariate set.</w:t>
      </w:r>
      <w:r>
        <w:rPr>
          <w:i w:val="0"/>
        </w:rPr>
        <w:t xml:space="preserve"> Two covariate specifications were fit </w:t>
      </w:r>
      <w:r>
        <w:rPr>
          <w:b/>
          <w:i w:val="0"/>
          <w:highlight w:val="yellow"/>
        </w:rPr>
        <w:t>[[CHECK: this is your comment 18 and Cat's email — confirm both were actually run before claiming it]]</w:t>
      </w:r>
      <w:r>
        <w:rPr>
          <w:i w:val="0"/>
        </w:rPr>
        <w:t>:</w:t>
      </w:r>
    </w:p>
    <w:p>
      <w:pPr>
        <w:pStyle w:val="ListBullet"/>
      </w:pPr>
      <w:r>
        <w:rPr>
          <w:b/>
          <w:i w:val="0"/>
        </w:rPr>
        <w:t>Full set</w:t>
      </w:r>
      <w:r>
        <w:rPr>
          <w:i w:val="0"/>
        </w:rPr>
        <w:t xml:space="preserve"> — elevation, histosol %, precipitation normal, Tmax normal, Tmin</w:t>
      </w:r>
    </w:p>
    <w:p>
      <w:r>
        <w:rPr>
          <w:i w:val="0"/>
        </w:rPr>
        <w:t>normal, growing degree days, PDSI, HAND drainage, soil organic matter %, soil available water capacity, soil site index, with land cover and soil drainage class as exact-match keys.</w:t>
      </w:r>
    </w:p>
    <w:p>
      <w:pPr>
        <w:pStyle w:val="ListBullet"/>
      </w:pPr>
      <w:r>
        <w:rPr>
          <w:b/>
          <w:i w:val="0"/>
        </w:rPr>
        <w:t>Reduced set (Cat's request)</w:t>
      </w:r>
      <w:r>
        <w:rPr>
          <w:i w:val="0"/>
        </w:rPr>
        <w:t xml:space="preserve"> — PDSI and growing degree days as the only</w:t>
      </w:r>
    </w:p>
    <w:p>
      <w:r>
        <w:rPr>
          <w:i w:val="0"/>
        </w:rPr>
        <w:t>climate variables, with Tmax, Tmin, and precipitation removed, on the grounds that PDSI and GDD are the ecologically interpretable composites and the raw temperature and precipitation normals are largely redundant with them.</w:t>
      </w:r>
    </w:p>
    <w:p>
      <w:r>
        <w:rPr>
          <w:rFonts w:ascii="Consolas" w:hAnsi="Consolas"/>
          <w:i w:val="0"/>
        </w:rPr>
        <w:t>soil_water_table_depth</w:t>
      </w:r>
      <w:r>
        <w:rPr>
          <w:i w:val="0"/>
        </w:rPr>
        <w:t xml:space="preserve"> was dropped from both specifications. Including it alongside drainage, precipitation, and the other soil variables produced a </w:t>
      </w:r>
      <w:r>
        <w:rPr>
          <w:b/>
          <w:i w:val="0"/>
        </w:rPr>
        <w:t>positivity failure</w:t>
      </w:r>
      <w:r>
        <w:rPr>
          <w:i w:val="0"/>
        </w:rPr>
        <w:t>: for the later treatment cohorts, control pixels received near-zero estimated probability of treatment, so the inverse-probability weights the doubly robust estimator depends on became unstable.</w:t>
      </w:r>
    </w:p>
    <w:p>
      <w:pPr>
        <w:pStyle w:val="Heading3"/>
      </w:pPr>
      <w:r>
        <w:rPr>
          <w:i w:val="0"/>
        </w:rPr>
        <w:t>2.5 Design diagnostics</w:t>
      </w:r>
    </w:p>
    <w:p>
      <w:r>
        <w:rPr>
          <w:i w:val="0"/>
        </w:rPr>
        <w:t>Because the number of treated clusters is small, the design was assessed explicitly rather than assumed adequate (</w:t>
      </w:r>
      <w:r>
        <w:rPr>
          <w:rFonts w:ascii="Consolas" w:hAnsi="Consolas"/>
          <w:i w:val="0"/>
        </w:rPr>
        <w:t>src/peatfire/modeling/power.py</w:t>
      </w:r>
      <w:r>
        <w:rPr>
          <w:i w:val="0"/>
        </w:rPr>
        <w:t>):</w:t>
      </w:r>
    </w:p>
    <w:p>
      <w:pPr>
        <w:pStyle w:val="ListBullet"/>
      </w:pPr>
      <w:r>
        <w:rPr>
          <w:b/>
          <w:i w:val="0"/>
        </w:rPr>
        <w:t>`design_summary`</w:t>
      </w:r>
      <w:r>
        <w:rPr>
          <w:i w:val="0"/>
        </w:rPr>
        <w:t xml:space="preserve"> collapses the pixel-year panel to the site-year level —</w:t>
      </w:r>
    </w:p>
    <w:p>
      <w:r>
        <w:rPr>
          <w:i w:val="0"/>
        </w:rPr>
        <w:t>the level at which treatment actually varies — and reports sites × pre/post years × years containing fire.</w:t>
      </w:r>
    </w:p>
    <w:p>
      <w:pPr>
        <w:pStyle w:val="ListBullet"/>
      </w:pPr>
      <w:r>
        <w:rPr>
          <w:b/>
          <w:i w:val="0"/>
        </w:rPr>
        <w:t>`minimum_detectable_effect`</w:t>
      </w:r>
      <w:r>
        <w:rPr>
          <w:i w:val="0"/>
        </w:rPr>
        <w:t xml:space="preserve"> simulates the observed design under a known</w:t>
      </w:r>
    </w:p>
    <w:p>
      <w:r>
        <w:rPr>
          <w:i w:val="0"/>
        </w:rPr>
        <w:t>true effect and reports power across a range of true reductions.</w:t>
      </w:r>
    </w:p>
    <w:p>
      <w:pPr>
        <w:pStyle w:val="ListBullet"/>
      </w:pPr>
      <w:r>
        <w:rPr>
          <w:b/>
          <w:i w:val="0"/>
        </w:rPr>
        <w:t>`randomization_inference`</w:t>
      </w:r>
      <w:r>
        <w:rPr>
          <w:i w:val="0"/>
        </w:rPr>
        <w:t xml:space="preserve"> holds the observed fire history fixed and</w:t>
      </w:r>
    </w:p>
    <w:p>
      <w:r>
        <w:rPr>
          <w:i w:val="0"/>
        </w:rPr>
        <w:t>permutes which sites were restored and when, producing a p-value that is valid at six clusters and has no NaN failure mode — unlike the cluster bootstrap, which degenerates when a site-year contains zero fire.</w:t>
      </w:r>
    </w:p>
    <w:p>
      <w:pPr>
        <w:pStyle w:val="ListBullet"/>
      </w:pPr>
      <w:r>
        <w:rPr>
          <w:b/>
          <w:i w:val="0"/>
        </w:rPr>
        <w:t>`did_site_year`</w:t>
      </w:r>
      <w:r>
        <w:rPr>
          <w:i w:val="0"/>
        </w:rPr>
        <w:t xml:space="preserve"> fits a transparent two-way fixed-effects DiD on the</w:t>
      </w:r>
    </w:p>
    <w:p>
      <w:r>
        <w:rPr>
          <w:i w:val="0"/>
        </w:rPr>
        <w:t>site-year panel with t(G−1) reference distribution, as a cross-check on the Callaway–Sant'Anna fit.</w:t>
      </w:r>
    </w:p>
    <w:p>
      <w:pPr>
        <w:jc w:val="center"/>
      </w:pPr>
      <w:r>
        <w:rPr>
          <w:i/>
          <w:color w:val="666666"/>
        </w:rPr>
        <w:t xml:space="preserve"> </w:t>
      </w:r>
      <w:r>
        <w:rPr>
          <w:i w:val="0"/>
          <w:color w:val="666666"/>
        </w:rPr>
        <w:t xml:space="preserve"> *</w:t>
      </w:r>
    </w:p>
    <w:p>
      <w:pPr>
        <w:pStyle w:val="Heading2"/>
      </w:pPr>
      <w:r>
        <w:rPr>
          <w:i w:val="0"/>
        </w:rPr>
        <w:t>3. Results</w:t>
      </w:r>
    </w:p>
    <w:p>
      <w:pPr>
        <w:pStyle w:val="Heading3"/>
      </w:pPr>
      <w:r>
        <w:rPr>
          <w:i w:val="0"/>
        </w:rPr>
        <w:t>3.1 Fire-product comparison</w:t>
      </w:r>
    </w:p>
    <w:p>
      <w:r>
        <w:rPr>
          <w:i w:val="0"/>
        </w:rPr>
        <w:t xml:space="preserve">Prior to any analysis, a fire occurrence product and several burned area and severity products were compared regarding their potential viability in characterizing wildfire risk in North Carolina peatlands (see the Fire Product Comparison and Recommendation Notes tabs in </w:t>
      </w:r>
      <w:r>
        <w:rPr>
          <w:rFonts w:ascii="Consolas" w:hAnsi="Consolas"/>
          <w:i w:val="0"/>
        </w:rPr>
        <w:t>fire_product_comparison.xlsx</w:t>
      </w:r>
      <w:r>
        <w:rPr>
          <w:i w:val="0"/>
        </w:rPr>
        <w:t xml:space="preserve"> for details). Products were assessed on spatial resolution, length and currency of temporal coverage, update frequency, and sensitivity to the small fires that dominate the southeastern fire regime. From this comparison, the most suitable datasets for assessing fire occurrence, burned area, and burn severity were determined to be VIIRS Active Fire, GABAM, and SE FireMap, respectively.</w:t>
      </w:r>
    </w:p>
    <w:p>
      <w:r>
        <w:rPr>
          <w:b/>
          <w:i w:val="0"/>
          <w:highlight w:val="yellow"/>
        </w:rPr>
        <w:t>[[FIG 2: Annual burned area over NC peat for the four burned-area products compared (MCD64A1, FireCCI51, FireCCIS311, GABAM), on the common grid. Your own note: "maybe do the burned area over nc peat for the four products that I compared." This is the figure that makes the product comparison concrete — worth the effort if you have the plotting code already.]]</w:t>
      </w:r>
      <w:r>
        <w:rPr>
          <w:i w:val="0"/>
        </w:rPr>
        <w:t xml:space="preserve"> </w:t>
      </w:r>
      <w:r>
        <w:rPr>
          <w:b/>
          <w:i w:val="0"/>
          <w:highlight w:val="yellow"/>
        </w:rPr>
        <w:t>[[CUT? if time is short, the recall figures below carry the argument on their own.]]</w:t>
      </w:r>
    </w:p>
    <w:p>
      <w:pPr>
        <w:ind w:left="480"/>
      </w:pPr>
      <w:r>
        <w:rPr>
          <w:i/>
        </w:rPr>
        <w:t xml:space="preserve">Figure 2. Annual burned area within the North Carolina peatland mask, by burned-area product, 2001–2024. </w:t>
      </w:r>
      <w:r>
        <w:rPr>
          <w:b/>
          <w:i/>
          <w:highlight w:val="yellow"/>
        </w:rPr>
        <w:t>[[TODO: one sentence on what the divergence between products shows.]]</w:t>
      </w:r>
    </w:p>
    <w:p>
      <w:r>
        <w:rPr>
          <w:i w:val="0"/>
        </w:rPr>
        <w:t>However, upon inspecting the burn severity data overlaid over North Carolina (Figure 3), it was determined that the burn severity products were too sparse over North Carolina peatlands and none of these products were used in further analyses.</w:t>
      </w:r>
    </w:p>
    <w:p>
      <w:r>
        <w:rPr>
          <w:b/>
          <w:i w:val="0"/>
          <w:highlight w:val="yellow"/>
        </w:rPr>
        <w:t>[[FIG 3: Burn severity products overlaid over NC. Panels a, MTBS; b, SE FireMap; c, MOSEV. Already in your draft.]]</w:t>
      </w:r>
    </w:p>
    <w:p>
      <w:pPr>
        <w:ind w:left="480"/>
      </w:pPr>
      <w:r>
        <w:rPr>
          <w:i/>
        </w:rPr>
        <w:t xml:space="preserve">Figure 3. Burn severity products overlaid over North Carolina. </w:t>
      </w:r>
      <w:r>
        <w:rPr>
          <w:b/>
          <w:i/>
        </w:rPr>
        <w:t>a</w:t>
      </w:r>
      <w:r>
        <w:rPr>
          <w:i/>
        </w:rPr>
        <w:t xml:space="preserve">, MTBS. </w:t>
      </w:r>
      <w:r>
        <w:rPr>
          <w:b/>
          <w:i/>
        </w:rPr>
        <w:t>b</w:t>
      </w:r>
      <w:r>
        <w:rPr>
          <w:i/>
        </w:rPr>
        <w:t xml:space="preserve">, SE FireMap. </w:t>
      </w:r>
      <w:r>
        <w:rPr>
          <w:b/>
          <w:i/>
        </w:rPr>
        <w:t>c</w:t>
      </w:r>
      <w:r>
        <w:rPr>
          <w:i/>
        </w:rPr>
        <w:t xml:space="preserve">, MOSEV. </w:t>
      </w:r>
      <w:r>
        <w:rPr>
          <w:b/>
          <w:i/>
          <w:highlight w:val="yellow"/>
        </w:rPr>
        <w:t>[[TODO: add a clause quantifying the sparsity — e.g. "n peat pixels have any severity value across the record," or "only the 2008 and 2011 fires appear."]]</w:t>
      </w:r>
      <w:r>
        <w:rPr>
          <w:i/>
        </w:rPr>
        <w:t xml:space="preserve"> Because no product provided usable severity over peat, burn severity was dropped as an outcome.</w:t>
      </w:r>
    </w:p>
    <w:p>
      <w:pPr>
        <w:pStyle w:val="Heading3"/>
      </w:pPr>
      <w:r>
        <w:rPr>
          <w:i w:val="0"/>
        </w:rPr>
        <w:t>3.2 Validation against reference perimeters</w:t>
      </w:r>
    </w:p>
    <w:p>
      <w:r>
        <w:rPr>
          <w:i w:val="0"/>
        </w:rPr>
        <w:t>The accuracy of the fire occurrence and burned area products was then obtained through comparison with ground truth reference datasets over North Carolina peatlands (Figure 4; see Methods §2.3).</w:t>
      </w:r>
    </w:p>
    <w:p>
      <w:r>
        <w:rPr>
          <w:b/>
          <w:i w:val="0"/>
          <w:highlight w:val="yellow"/>
        </w:rPr>
        <w:t>[[FIG 4: Recall of each burned-area product against each reference dataset, within NC peat. Panels: **a**, NIFC_IFPH; **b**, GEOMAC; **c**, TNC Coastal Plain; **d**, TNC Sandhills. Your comment 13 specifies this panel order. Note that TNC Sandhills has no overlap with the ≥80% histosol mask, so panel d is NC-wide only — or drop panel d from the peat figure and keep it in an NC-wide version.]]</w:t>
      </w:r>
    </w:p>
    <w:p>
      <w:pPr>
        <w:ind w:left="480"/>
      </w:pPr>
      <w:r>
        <w:rPr>
          <w:i/>
        </w:rPr>
        <w:t xml:space="preserve">Figure 4. Burned-area product recall against fire-perimeter reference datasets within North Carolina peatlands. </w:t>
      </w:r>
      <w:r>
        <w:rPr>
          <w:b/>
          <w:i/>
        </w:rPr>
        <w:t>a</w:t>
      </w:r>
      <w:r>
        <w:rPr>
          <w:i/>
        </w:rPr>
        <w:t xml:space="preserve">, NIFC_IFPH (fires ≥ 100 acres). </w:t>
      </w:r>
      <w:r>
        <w:rPr>
          <w:b/>
          <w:i/>
        </w:rPr>
        <w:t>b</w:t>
      </w:r>
      <w:r>
        <w:rPr>
          <w:i/>
        </w:rPr>
        <w:t xml:space="preserve">, GEOMAC (fires ≥ 100 acres). </w:t>
      </w:r>
      <w:r>
        <w:rPr>
          <w:b/>
          <w:i/>
        </w:rPr>
        <w:t>c</w:t>
      </w:r>
      <w:r>
        <w:rPr>
          <w:i/>
        </w:rPr>
        <w:t xml:space="preserve">, TNC Coastal Plain. </w:t>
      </w:r>
      <w:r>
        <w:rPr>
          <w:b/>
          <w:i/>
        </w:rPr>
        <w:t>d</w:t>
      </w:r>
      <w:r>
        <w:rPr>
          <w:i/>
        </w:rPr>
        <w:t xml:space="preserve">, TNC Sandhills. Bars show pooled recall (cell-weighted across all events, dominated by large fires), mean per-event recall (each fire counted equally, sensitive to small-fire omission), and detection rate (fraction of events for which the product mapped any burned pixel). Higher is better on all three; a product with high pooled recall but low mean-event recall is finding the big fires and missing the small ones. </w:t>
      </w:r>
      <w:r>
        <w:rPr>
          <w:b/>
          <w:i/>
          <w:highlight w:val="yellow"/>
        </w:rPr>
        <w:t>[[TODO: one sentence naming which product wins on which metric.]]</w:t>
      </w:r>
    </w:p>
    <w:p>
      <w:r>
        <w:rPr>
          <w:b/>
          <w:i w:val="0"/>
          <w:highlight w:val="yellow"/>
        </w:rPr>
        <w:t>[[TAB 3: Recall table underlying Figure 4 — product × reference, with recall_pooled, recall_mean_event, detection_rate, and n events. Your comment 13 asks for the recall tables; a table plus the figure is probably one item too many, so pick whichever reads better and cut the other.]]</w:t>
      </w:r>
    </w:p>
    <w:p>
      <w:r>
        <w:rPr>
          <w:i w:val="0"/>
        </w:rPr>
        <w:t xml:space="preserve">FireCCIS311 was determined to have the best spatial accuracy in North Carolina peatlands, with the best combination of large-fire and small-fire detection </w:t>
      </w:r>
      <w:r>
        <w:rPr>
          <w:b/>
          <w:i w:val="0"/>
          <w:highlight w:val="yellow"/>
        </w:rPr>
        <w:t>[[NUM: give the numbers — FireCCIS311 recall_pooled = ?, recall_mean_event = ?, vs MCD64A1 = ?]]</w:t>
      </w:r>
      <w:r>
        <w:rPr>
          <w:i w:val="0"/>
        </w:rPr>
        <w:t xml:space="preserve">. It was therefore used initially for the modeling analyses. Because this product only begins in 2019, however, it lacks pre-treatment data for the </w:t>
      </w:r>
      <w:r>
        <w:rPr>
          <w:b/>
          <w:i w:val="0"/>
          <w:highlight w:val="yellow"/>
        </w:rPr>
        <w:t>[[NUM: 3 of 6]]</w:t>
      </w:r>
      <w:r>
        <w:rPr>
          <w:i w:val="0"/>
        </w:rPr>
        <w:t xml:space="preserve"> restoration sites whose restoration years fall in or after 2019, leaving only </w:t>
      </w:r>
      <w:r>
        <w:rPr>
          <w:b/>
          <w:i w:val="0"/>
          <w:highlight w:val="yellow"/>
        </w:rPr>
        <w:t>[[NUM: 3]]</w:t>
      </w:r>
      <w:r>
        <w:rPr>
          <w:i w:val="0"/>
        </w:rPr>
        <w:t xml:space="preserve"> sites with both a pre- and a post-restoration period. MODIS MCD64A1, which begins in November 2000, was therefore used for the modeling results reported below, recovering all six sites and — importantly — the 2008 Evans Road and 2011 Pains Bay fires, the two large events that dominate the recent NC peat fire record </w:t>
      </w:r>
      <w:r>
        <w:rPr>
          <w:b/>
          <w:i w:val="0"/>
          <w:highlight w:val="yellow"/>
        </w:rPr>
        <w:t>[[CHECK: that those two fires are in fact the dominant events in the MCD64A1 peat record — worth confirming from the annual totals]]</w:t>
      </w:r>
      <w:r>
        <w:rPr>
          <w:i w:val="0"/>
        </w:rPr>
        <w:t>.</w:t>
      </w:r>
    </w:p>
    <w:p>
      <w:r>
        <w:rPr>
          <w:b/>
          <w:i w:val="0"/>
        </w:rPr>
        <w:t>Recommended products.</w:t>
      </w:r>
      <w:r>
        <w:rPr>
          <w:i w:val="0"/>
        </w:rPr>
        <w:t xml:space="preserve"> </w:t>
      </w:r>
      <w:r>
        <w:rPr>
          <w:b/>
          <w:i w:val="0"/>
          <w:highlight w:val="yellow"/>
        </w:rPr>
        <w:t>[[TODO: this is Cat's ask #2 and should be stated plainly and early. Draft:]]</w:t>
      </w:r>
      <w:r>
        <w:rPr>
          <w:i w:val="0"/>
        </w:rPr>
        <w:t xml:space="preserve"> For fire </w:t>
      </w:r>
      <w:r>
        <w:rPr>
          <w:b/>
          <w:i w:val="0"/>
        </w:rPr>
        <w:t>occurrence</w:t>
      </w:r>
      <w:r>
        <w:rPr>
          <w:i w:val="0"/>
        </w:rPr>
        <w:t xml:space="preserve">, VIIRS active fire (375 m, 2012–present, near-real-time) is recommended: it is the only product with sub-daily temporal resolution and the only one that can support a smoldering- persistence analysis (§5.4). For </w:t>
      </w:r>
      <w:r>
        <w:rPr>
          <w:b/>
          <w:i w:val="0"/>
        </w:rPr>
        <w:t>burned area</w:t>
      </w:r>
      <w:r>
        <w:rPr>
          <w:i w:val="0"/>
        </w:rPr>
        <w:t xml:space="preserve">, the recommendation is product-dependent on the question: FireCCIS311 (300 m, 2019–present) for spatial accuracy where the analysis window falls inside its record, and MODIS MCD64A1 (500 m, 2000–present) wherever a long pre-treatment baseline is required — which includes every before/after restoration comparison. For </w:t>
      </w:r>
      <w:r>
        <w:rPr>
          <w:b/>
          <w:i w:val="0"/>
        </w:rPr>
        <w:t>burn severity</w:t>
      </w:r>
      <w:r>
        <w:rPr>
          <w:i w:val="0"/>
        </w:rPr>
        <w:t>, no product is recommended over NC peat; MTBS, SE FireMap, and MOSEV are all too sparse there to support analysis, and severity should be treated as a data gap rather than a variable.</w:t>
      </w:r>
    </w:p>
    <w:p>
      <w:pPr>
        <w:pStyle w:val="Heading3"/>
      </w:pPr>
      <w:r>
        <w:rPr>
          <w:i w:val="0"/>
        </w:rPr>
        <w:t>3.3 Effect of restoration on burned area</w:t>
      </w:r>
    </w:p>
    <w:p>
      <w:r>
        <w:rPr>
          <w:b/>
          <w:i w:val="0"/>
        </w:rPr>
        <w:t>Matching and balance.</w:t>
      </w:r>
    </w:p>
    <w:p>
      <w:r>
        <w:rPr>
          <w:b/>
          <w:i w:val="0"/>
          <w:highlight w:val="yellow"/>
        </w:rPr>
        <w:t>[[FIG 5: Matching results. Suggested panels: **a**, treated and matched control pixels in geographic space; **b**, treated vs control in covariate space (2D projection); **c**, love plot of standardized mean difference per covariate, before vs after matching. Slides 17, 65, 66 have versions of all three.]]</w:t>
      </w:r>
    </w:p>
    <w:p>
      <w:pPr>
        <w:ind w:left="480"/>
      </w:pPr>
      <w:r>
        <w:rPr>
          <w:i/>
        </w:rPr>
        <w:t xml:space="preserve">Figure 5. Covariate matching of treated (restored) and control peat pixels. </w:t>
      </w:r>
      <w:r>
        <w:rPr>
          <w:b/>
          <w:i/>
        </w:rPr>
        <w:t>a</w:t>
      </w:r>
      <w:r>
        <w:rPr>
          <w:i/>
        </w:rPr>
        <w:t xml:space="preserve">, Locations of treated and matched control pixels. </w:t>
      </w:r>
      <w:r>
        <w:rPr>
          <w:b/>
          <w:i/>
        </w:rPr>
        <w:t>b</w:t>
      </w:r>
      <w:r>
        <w:rPr>
          <w:i/>
        </w:rPr>
        <w:t xml:space="preserve">, Treated and control pixels in covariate space </w:t>
      </w:r>
      <w:r>
        <w:rPr>
          <w:b/>
          <w:i/>
          <w:highlight w:val="yellow"/>
        </w:rPr>
        <w:t>[[TODO: name the two covariates shown]]</w:t>
      </w:r>
      <w:r>
        <w:rPr>
          <w:i/>
        </w:rPr>
        <w:t xml:space="preserve">. </w:t>
      </w:r>
      <w:r>
        <w:rPr>
          <w:b/>
          <w:i/>
        </w:rPr>
        <w:t>c</w:t>
      </w:r>
      <w:r>
        <w:rPr>
          <w:i/>
        </w:rPr>
        <w:t xml:space="preserve">, Standardized mean difference per covariate before and after matching; values closer to zero indicate better balance, and |SMD| ≤ 0.2 is the conventional threshold. </w:t>
      </w:r>
      <w:r>
        <w:rPr>
          <w:b/>
          <w:i/>
          <w:highlight w:val="yellow"/>
        </w:rPr>
        <w:t>[[NUM: how many treated pixels were dropped for having no control within the caliper?]]</w:t>
      </w:r>
    </w:p>
    <w:p>
      <w:r>
        <w:rPr>
          <w:i w:val="0"/>
        </w:rPr>
        <w:t xml:space="preserve">Matching improved balance on </w:t>
      </w:r>
      <w:r>
        <w:rPr>
          <w:b/>
          <w:i w:val="0"/>
          <w:highlight w:val="yellow"/>
        </w:rPr>
        <w:t>[[NUM: n of m]]</w:t>
      </w:r>
      <w:r>
        <w:rPr>
          <w:i w:val="0"/>
        </w:rPr>
        <w:t xml:space="preserve"> covariates, bringing all covariates within |SMD| ≤ </w:t>
      </w:r>
      <w:r>
        <w:rPr>
          <w:b/>
          <w:i w:val="0"/>
          <w:highlight w:val="yellow"/>
        </w:rPr>
        <w:t>[[NUM]]</w:t>
      </w:r>
      <w:r>
        <w:rPr>
          <w:i w:val="0"/>
        </w:rPr>
        <w:t xml:space="preserve"> </w:t>
      </w:r>
      <w:r>
        <w:rPr>
          <w:b/>
          <w:i w:val="0"/>
          <w:highlight w:val="yellow"/>
        </w:rPr>
        <w:t>[[TODO: or state honestly which covariates remained imbalanced]]</w:t>
      </w:r>
      <w:r>
        <w:rPr>
          <w:i w:val="0"/>
        </w:rPr>
        <w:t>.</w:t>
      </w:r>
    </w:p>
    <w:p>
      <w:r>
        <w:rPr>
          <w:b/>
          <w:i w:val="0"/>
        </w:rPr>
        <w:t>Difference-in-differences.</w:t>
      </w:r>
    </w:p>
    <w:p>
      <w:r>
        <w:rPr>
          <w:b/>
          <w:i w:val="0"/>
          <w:highlight w:val="yellow"/>
        </w:rPr>
        <w:t>[[FIG 6: DiD results. Panels: **a**, event study — ATT by event time, with confidence bands and the treatment year marked; **b**, aggregated ATT. Slide 43 has a version, but note your own caveat there that the error bars were broken by NaN bootstrap replicates — regenerate with `randomization_inference` before using.]]</w:t>
      </w:r>
    </w:p>
    <w:p>
      <w:pPr>
        <w:ind w:left="480"/>
      </w:pPr>
      <w:r>
        <w:rPr>
          <w:i/>
        </w:rPr>
        <w:t xml:space="preserve">Figure 6. Staggered difference-in-differences estimate of the effect of peatland restoration on annual burn probability, MODIS MCD64A1, 2001–2024. </w:t>
      </w:r>
      <w:r>
        <w:rPr>
          <w:b/>
          <w:i/>
        </w:rPr>
        <w:t>a</w:t>
      </w:r>
      <w:r>
        <w:rPr>
          <w:i/>
        </w:rPr>
        <w:t xml:space="preserve">, Event study: ATT by year relative to each site's restoration year. Estimates at negative event times test the parallel-trends assumption and should be indistinguishable from zero. </w:t>
      </w:r>
      <w:r>
        <w:rPr>
          <w:b/>
          <w:i/>
        </w:rPr>
        <w:t>b</w:t>
      </w:r>
      <w:r>
        <w:rPr>
          <w:i/>
        </w:rPr>
        <w:t xml:space="preserve">, Aggregated ATT. Standard errors are clustered by restoration site. </w:t>
      </w:r>
      <w:r>
        <w:rPr>
          <w:b/>
          <w:i/>
          <w:highlight w:val="yellow"/>
        </w:rPr>
        <w:t>[[NUM: report the aggregated ATT and its interval, and state the inference method actually used — cluster bootstrap or randomization inference.]]</w:t>
      </w:r>
    </w:p>
    <w:p>
      <w:r>
        <w:rPr>
          <w:i w:val="0"/>
        </w:rPr>
        <w:t xml:space="preserve">The aggregated ATT was </w:t>
      </w:r>
      <w:r>
        <w:rPr>
          <w:b/>
          <w:i w:val="0"/>
          <w:highlight w:val="yellow"/>
        </w:rPr>
        <w:t>[[NUM: value, CI]]</w:t>
      </w:r>
      <w:r>
        <w:rPr>
          <w:i w:val="0"/>
        </w:rPr>
        <w:t>, which is not distinguishable from zero. Three diagnostics indicate that this null is uninformative about restoration rather than evidence against it, and each is reported here rather than in the discussion because each is a property of the estimate itself:</w:t>
      </w:r>
    </w:p>
    <w:p>
      <w:pPr>
        <w:pStyle w:val="ListNumber"/>
      </w:pPr>
      <w:r>
        <w:rPr>
          <w:b/>
          <w:i w:val="0"/>
        </w:rPr>
        <w:t>Parallel trends fails before treatment.</w:t>
      </w:r>
      <w:r>
        <w:rPr>
          <w:i w:val="0"/>
        </w:rPr>
        <w:t xml:space="preserve"> The event study reports</w:t>
      </w:r>
    </w:p>
    <w:p>
      <w:r>
        <w:rPr>
          <w:i w:val="0"/>
        </w:rPr>
        <w:t xml:space="preserve">ATT(−1) = </w:t>
      </w:r>
      <w:r>
        <w:rPr>
          <w:b/>
          <w:i w:val="0"/>
          <w:highlight w:val="yellow"/>
        </w:rPr>
        <w:t>[[NUM: −0.011]]</w:t>
      </w:r>
      <w:r>
        <w:rPr>
          <w:i w:val="0"/>
        </w:rPr>
        <w:t xml:space="preserve"> with a confidence band excluding zero. Because the pre-treatment trends already diverge, the post-treatment point estimate is not an ATT regardless of its p-value.</w:t>
      </w:r>
    </w:p>
    <w:p>
      <w:pPr>
        <w:pStyle w:val="ListNumber"/>
      </w:pPr>
      <w:r>
        <w:rPr>
          <w:b/>
          <w:i w:val="0"/>
        </w:rPr>
        <w:t>Positivity fails when the full soil covariate set is used.</w:t>
      </w:r>
    </w:p>
    <w:p>
      <w:r>
        <w:rPr>
          <w:rFonts w:ascii="Consolas" w:hAnsi="Consolas"/>
          <w:i w:val="0"/>
        </w:rPr>
        <w:t>soil_water_table_depth</w:t>
      </w:r>
      <w:r>
        <w:rPr>
          <w:i w:val="0"/>
        </w:rPr>
        <w:t xml:space="preserve"> had to be dropped (§2.4) because control pixels received near-zero treatment probability for the later cohorts. The covariate overlap the doubly robust estimator requires is marginal.</w:t>
      </w:r>
    </w:p>
    <w:p>
      <w:pPr>
        <w:pStyle w:val="ListNumber"/>
      </w:pPr>
      <w:r>
        <w:rPr>
          <w:b/>
          <w:i w:val="0"/>
        </w:rPr>
        <w:t>The cluster bootstrap degenerates.</w:t>
      </w:r>
      <w:r>
        <w:rPr>
          <w:i w:val="0"/>
        </w:rPr>
        <w:t xml:space="preserve"> Some site-years contain zero fire in</w:t>
      </w:r>
    </w:p>
    <w:p>
      <w:r>
        <w:rPr>
          <w:i w:val="0"/>
        </w:rPr>
        <w:t xml:space="preserve">the treated or control group, producing NaN bootstrap replicates and unusable site-clustered standard errors. Randomization inference, which permutes restoration assignment rather than resampling clusters, is valid at this cluster count and is reported instead </w:t>
      </w:r>
      <w:r>
        <w:rPr>
          <w:b/>
          <w:i w:val="0"/>
          <w:highlight w:val="yellow"/>
        </w:rPr>
        <w:t>[[NUM: randomization p-value]]</w:t>
      </w:r>
      <w:r>
        <w:rPr>
          <w:i w:val="0"/>
        </w:rPr>
        <w:t>.</w:t>
      </w:r>
    </w:p>
    <w:p>
      <w:r>
        <w:rPr>
          <w:b/>
          <w:i w:val="0"/>
        </w:rPr>
        <w:t>Matched logistic regression.</w:t>
      </w:r>
    </w:p>
    <w:p>
      <w:r>
        <w:rPr>
          <w:b/>
          <w:i w:val="0"/>
          <w:highlight w:val="yellow"/>
        </w:rPr>
        <w:t>[[FIG 7: Odds ratios with 95% CIs from the matched logistic model, covariates sorted by effect size, with `treated` highlighted and a reference line at OR = 1. Run this for both the full and the PDSI+GDD-only covariate sets — see below.]]</w:t>
      </w:r>
    </w:p>
    <w:p>
      <w:pPr>
        <w:ind w:left="480"/>
      </w:pPr>
      <w:r>
        <w:rPr>
          <w:i/>
        </w:rPr>
        <w:t xml:space="preserve">Figure 7. Odds ratios and 95% confidence intervals from the matched logistic regression of annual pixel burn status on restoration status and covariates, with standard errors clustered by restoration site. Continuous covariates are standardized, so each odds ratio is the multiplicative change in fire odds per one standard deviation. OR = 1 indicates no effect; OR &lt; 1 for </w:t>
      </w:r>
      <w:r>
        <w:rPr>
          <w:rFonts w:ascii="Consolas" w:hAnsi="Consolas"/>
          <w:i/>
        </w:rPr>
        <w:t>treated</w:t>
      </w:r>
      <w:r>
        <w:rPr>
          <w:i/>
        </w:rPr>
        <w:t xml:space="preserve"> would indicate that restoration lowers fire odds. </w:t>
      </w:r>
      <w:r>
        <w:rPr>
          <w:b/>
          <w:i/>
          <w:highlight w:val="yellow"/>
        </w:rPr>
        <w:t>[[NUM: report the treated OR and CI.]]</w:t>
      </w:r>
    </w:p>
    <w:p>
      <w:pPr>
        <w:pStyle w:val="Heading3"/>
      </w:pPr>
      <w:r>
        <w:rPr>
          <w:i w:val="0"/>
        </w:rPr>
        <w:t>3.4 Which factors best predict fire</w:t>
      </w:r>
    </w:p>
    <w:p>
      <w:pPr>
        <w:ind w:left="480"/>
      </w:pPr>
      <w:r>
        <w:rPr>
          <w:i/>
          <w:color w:val="666666"/>
        </w:rPr>
        <w:t>This is Cat's ask #3 and currently the thinnest part of the draft. It needs the logistic model coefficients — the DiD does not report per-covariate contributions to the propensity and prognostic scores, so the odds ratios from §3.3 are the source. Cat also specifically asked for the reduced PDSI + GDD specification, so report both.</w:t>
      </w:r>
    </w:p>
    <w:p>
      <w:r>
        <w:rPr>
          <w:b/>
          <w:i w:val="0"/>
          <w:highlight w:val="yellow"/>
        </w:rPr>
        <w:t>[[TAB 4: Odds ratios from both covariate specifications side by side. Columns: covariate | OR (full set), 95% CI | OR (PDSI + GDD only), 95% CI. A covariate whose sign or magnitude flips between specifications is worth a sentence.]]</w:t>
      </w:r>
    </w:p>
    <w:p>
      <w:pPr>
        <w:ind w:left="480"/>
      </w:pPr>
      <w:r>
        <w:rPr>
          <w:i/>
        </w:rPr>
        <w:t>Table 4. Odds ratios for annual pixel burn status under two covariate specifications: the full covariate set, and the reduced set retaining PDSI and growing degree days as the only climate variables. Standard errors clustered by restoration site; continuous covariates standardized.</w:t>
      </w:r>
    </w:p>
    <w:p>
      <w:r>
        <w:rPr>
          <w:b/>
          <w:i w:val="0"/>
          <w:highlight w:val="yellow"/>
        </w:rPr>
        <w:t>[[FIG 8: Burn rate vs covariate value, per covariate, with pixels binned into 8 equal-count bins. You already have these for PDSI, Tmin, Tmax, and precipitation (slides 21–34) for both FireCCIS311 at 300 m and MCD64A1 at 300 m and 500 m. Pick one product and one resolution for the report and put the rest in an appendix or leave them in the deck.]]</w:t>
      </w:r>
    </w:p>
    <w:p>
      <w:pPr>
        <w:ind w:left="480"/>
      </w:pPr>
      <w:r>
        <w:rPr>
          <w:i/>
        </w:rPr>
        <w:t xml:space="preserve">Figure 8. Annual burn rate against each per-year covariate, MODIS MCD64A1 at 300 m. Pixels are divided into eight bins of equal count across each covariate's value range. </w:t>
      </w:r>
      <w:r>
        <w:rPr>
          <w:b/>
          <w:i/>
          <w:highlight w:val="yellow"/>
        </w:rPr>
        <w:t>[[TODO: one sentence per panel, or one sentence for the figure — which covariates show a monotone relationship with burn rate and which are flat.]]</w:t>
      </w:r>
    </w:p>
    <w:p>
      <w:r>
        <w:rPr>
          <w:i w:val="0"/>
        </w:rPr>
        <w:t>[[TODO: the actual answer to "what predicts fire." Draft skeleton once you have Table 4:</w:t>
      </w:r>
    </w:p>
    <w:p>
      <w:r>
        <w:rPr>
          <w:i w:val="0"/>
        </w:rPr>
        <w:t xml:space="preserve">"Restoration status was not among the covariates predicting fire (OR = </w:t>
      </w:r>
      <w:r>
        <w:rPr>
          <w:b/>
          <w:i w:val="0"/>
          <w:highlight w:val="yellow"/>
        </w:rPr>
        <w:t>[[NUM]]</w:t>
      </w:r>
      <w:r>
        <w:rPr>
          <w:i w:val="0"/>
        </w:rPr>
        <w:t xml:space="preserve">, 95% CI </w:t>
      </w:r>
      <w:r>
        <w:rPr>
          <w:b/>
          <w:i w:val="0"/>
          <w:highlight w:val="yellow"/>
        </w:rPr>
        <w:t>[[NUM]]</w:t>
      </w:r>
      <w:r>
        <w:rPr>
          <w:i w:val="0"/>
        </w:rPr>
        <w:t xml:space="preserve">). The strongest predictors were </w:t>
      </w:r>
      <w:r>
        <w:rPr>
          <w:b/>
          <w:i w:val="0"/>
          <w:highlight w:val="yellow"/>
        </w:rPr>
        <w:t>[[NUM]]</w:t>
      </w:r>
      <w:r>
        <w:rPr>
          <w:i w:val="0"/>
        </w:rPr>
        <w:t xml:space="preserve"> and </w:t>
      </w:r>
      <w:r>
        <w:rPr>
          <w:b/>
          <w:i w:val="0"/>
          <w:highlight w:val="yellow"/>
        </w:rPr>
        <w:t>[[NUM]]</w:t>
      </w:r>
      <w:r>
        <w:rPr>
          <w:i w:val="0"/>
        </w:rPr>
        <w:t xml:space="preserve">. Drought (PDSI) </w:t>
      </w:r>
      <w:r>
        <w:rPr>
          <w:b/>
          <w:i w:val="0"/>
          <w:highlight w:val="yellow"/>
        </w:rPr>
        <w:t>[[TODO: direction — more negative PDSI = drier; expect higher burn odds]]</w:t>
      </w:r>
      <w:r>
        <w:rPr>
          <w:i w:val="0"/>
        </w:rPr>
        <w:t xml:space="preserve"> and </w:t>
      </w:r>
      <w:r>
        <w:rPr>
          <w:b/>
          <w:i w:val="0"/>
          <w:highlight w:val="yellow"/>
        </w:rPr>
        <w:t>[[TODO]]</w:t>
      </w:r>
      <w:r>
        <w:rPr>
          <w:i w:val="0"/>
        </w:rPr>
        <w:t xml:space="preserve">. Growing degree days </w:t>
      </w:r>
      <w:r>
        <w:rPr>
          <w:b/>
          <w:i w:val="0"/>
          <w:highlight w:val="yellow"/>
        </w:rPr>
        <w:t>[[TODO]]</w:t>
      </w:r>
      <w:r>
        <w:rPr>
          <w:i w:val="0"/>
        </w:rPr>
        <w:t xml:space="preserve">. Notably, </w:t>
      </w:r>
      <w:r>
        <w:rPr>
          <w:b/>
          <w:i w:val="0"/>
          <w:highlight w:val="yellow"/>
        </w:rPr>
        <w:t>[[TODO: the interesting one — e.g. drainage, if it predicts fire in the direction restoration is supposed to act, that is the single most useful result in the report, because it is the mechanism showing up where the six-site design could not see it]]</w:t>
      </w:r>
      <w:r>
        <w:rPr>
          <w:i w:val="0"/>
        </w:rPr>
        <w:t>."</w:t>
      </w:r>
    </w:p>
    <w:p>
      <w:r>
        <w:rPr>
          <w:i w:val="0"/>
        </w:rPr>
        <w:t>That last point is worth chasing: if HAND drainage predicts burn probability across the whole peat AOI, it is the same causal link the restoration analysis was a badly underpowered proxy for, measured on ~2 million pixel-years instead of 18 site-years. See §5.3.]]</w:t>
      </w:r>
    </w:p>
    <w:p>
      <w:pPr>
        <w:pStyle w:val="Heading3"/>
      </w:pPr>
      <w:r>
        <w:rPr>
          <w:i w:val="0"/>
        </w:rPr>
        <w:t>3.5 Design diagnostics: what the study could have detected</w:t>
      </w:r>
    </w:p>
    <w:p>
      <w:r>
        <w:rPr>
          <w:i w:val="0"/>
        </w:rPr>
        <w:t xml:space="preserve">Simulating this exact design — six restoration sites, </w:t>
      </w:r>
      <w:r>
        <w:rPr>
          <w:b/>
          <w:i w:val="0"/>
          <w:highlight w:val="yellow"/>
        </w:rPr>
        <w:t>[[NUM: 3 or 6, depending on product]]</w:t>
      </w:r>
      <w:r>
        <w:rPr>
          <w:i w:val="0"/>
        </w:rPr>
        <w:t xml:space="preserve"> with both a pre- and a post-restoration year, over the product's temporal window — gives </w:t>
      </w:r>
      <w:r>
        <w:rPr>
          <w:b/>
          <w:i w:val="0"/>
          <w:highlight w:val="yellow"/>
        </w:rPr>
        <w:t>[[NUM: 0.2–3%]]</w:t>
      </w:r>
      <w:r>
        <w:rPr>
          <w:i w:val="0"/>
        </w:rPr>
        <w:t xml:space="preserve"> power against a treatment that prevents fire completely.</w:t>
      </w:r>
    </w:p>
    <w:p>
      <w:r>
        <w:rPr>
          <w:b/>
          <w:i w:val="0"/>
          <w:highlight w:val="yellow"/>
        </w:rPr>
        <w:t>[[TAB 5: Power table from `minimum_detectable_effect` / the scenario table in `null_results_and_next_steps.md` §1a. Columns: scenario | P(site-year has fire) | power vs 100% prevention | power vs 50% reduction. Rows: FireCCIS311 as run, MCD64A1, Landsat-era. **Re-run this with the fire probability estimated from the actual panel via `design_from_panel` before quoting any number — the values in the memo are illustrative parameter choices, not fitted ones.**]]</w:t>
      </w:r>
    </w:p>
    <w:p>
      <w:pPr>
        <w:ind w:left="480"/>
      </w:pPr>
      <w:r>
        <w:rPr>
          <w:i/>
        </w:rPr>
        <w:t xml:space="preserve">Table 5. Statistical power of the observed design against known true effects, by fire product and assumed site-year fire probability. </w:t>
      </w:r>
      <w:r>
        <w:rPr>
          <w:b/>
          <w:i/>
          <w:highlight w:val="yellow"/>
        </w:rPr>
        <w:t>[[NUM: n simulations per cell]]</w:t>
      </w:r>
      <w:r>
        <w:rPr>
          <w:i/>
        </w:rPr>
        <w:t>.</w:t>
      </w:r>
    </w:p>
    <w:p>
      <w:r>
        <w:rPr>
          <w:b/>
          <w:i w:val="0"/>
          <w:highlight w:val="yellow"/>
        </w:rPr>
        <w:t>[[TAB 6: Sample-size curve from `sample_size_curve` — power to detect a 50% reduction, by number of sites × number of years. Same caveat about re-running with fitted parameters.]]</w:t>
      </w:r>
    </w:p>
    <w:p>
      <w:pPr>
        <w:ind w:left="480"/>
      </w:pPr>
      <w:r>
        <w:rPr>
          <w:i/>
        </w:rPr>
        <w:t xml:space="preserve">Table 6. Power to detect a 50% reduction in burn probability, by design size. </w:t>
      </w:r>
      <w:r>
        <w:rPr>
          <w:b/>
          <w:i/>
          <w:highlight w:val="yellow"/>
        </w:rPr>
        <w:t>[[NUM]]</w:t>
      </w:r>
      <w:r>
        <w:rPr>
          <w:i/>
        </w:rPr>
        <w:t xml:space="preserve"> simulations per cell.</w:t>
      </w:r>
    </w:p>
    <w:p>
      <w:r>
        <w:rPr>
          <w:i w:val="0"/>
        </w:rPr>
        <w:t xml:space="preserve">The binding constraint is the </w:t>
      </w:r>
      <w:r>
        <w:rPr>
          <w:b/>
          <w:i w:val="0"/>
        </w:rPr>
        <w:t>number of restoration sites, not the length of the fire record</w:t>
      </w:r>
      <w:r>
        <w:rPr>
          <w:i w:val="0"/>
        </w:rPr>
        <w:t xml:space="preserve">. An 80%-powered test of a 50% reduction requires on the order of </w:t>
      </w:r>
      <w:r>
        <w:rPr>
          <w:b/>
          <w:i w:val="0"/>
          <w:highlight w:val="yellow"/>
        </w:rPr>
        <w:t>[[NUM: 4,000–5,000]]</w:t>
      </w:r>
      <w:r>
        <w:rPr>
          <w:i w:val="0"/>
        </w:rPr>
        <w:t xml:space="preserve"> site-years; this study has </w:t>
      </w:r>
      <w:r>
        <w:rPr>
          <w:b/>
          <w:i w:val="0"/>
          <w:highlight w:val="yellow"/>
        </w:rPr>
        <w:t>[[NUM: 18–36]]</w:t>
      </w:r>
      <w:r>
        <w:rPr>
          <w:i w:val="0"/>
        </w:rPr>
        <w:t xml:space="preserve">. Extending the fire record back to the Landsat era without adding sites does not close the gap: at six sites, power against even complete fire prevention does not exceed </w:t>
      </w:r>
      <w:r>
        <w:rPr>
          <w:b/>
          <w:i w:val="0"/>
          <w:highlight w:val="yellow"/>
        </w:rPr>
        <w:t>[[NUM: 0.22]]</w:t>
      </w:r>
      <w:r>
        <w:rPr>
          <w:i w:val="0"/>
        </w:rPr>
        <w:t xml:space="preserve"> no matter how long the record.</w:t>
      </w:r>
    </w:p>
    <w:p>
      <w:pPr>
        <w:jc w:val="center"/>
      </w:pPr>
      <w:r>
        <w:rPr>
          <w:i/>
          <w:color w:val="666666"/>
        </w:rPr>
        <w:t xml:space="preserve"> </w:t>
      </w:r>
      <w:r>
        <w:rPr>
          <w:i w:val="0"/>
          <w:color w:val="666666"/>
        </w:rPr>
        <w:t xml:space="preserve"> *</w:t>
      </w:r>
    </w:p>
    <w:p>
      <w:pPr>
        <w:pStyle w:val="Heading2"/>
      </w:pPr>
      <w:r>
        <w:rPr>
          <w:i w:val="0"/>
        </w:rPr>
        <w:t>4. Discussion</w:t>
      </w:r>
    </w:p>
    <w:p>
      <w:pPr>
        <w:pStyle w:val="Heading3"/>
      </w:pPr>
      <w:r>
        <w:rPr>
          <w:i w:val="0"/>
        </w:rPr>
        <w:t>4.1 The null result is a statement about the design</w:t>
      </w:r>
    </w:p>
    <w:p>
      <w:r>
        <w:rPr>
          <w:i w:val="0"/>
        </w:rPr>
        <w:t xml:space="preserve">[[TODO: 2–3 paragraphs. The argument is already made in </w:t>
      </w:r>
      <w:r>
        <w:rPr>
          <w:rFonts w:ascii="Consolas" w:hAnsi="Consolas"/>
          <w:i w:val="0"/>
        </w:rPr>
        <w:t>null_results_and_next_steps.md</w:t>
      </w:r>
      <w:r>
        <w:rPr>
          <w:i w:val="0"/>
        </w:rPr>
        <w:t xml:space="preserve"> §1 — this section is the report-facing compression of it. Points to hit, in order:</w:t>
      </w:r>
    </w:p>
    <w:p>
      <w:pPr>
        <w:pStyle w:val="ListBullet"/>
      </w:pPr>
      <w:r>
        <w:rPr>
          <w:i w:val="0"/>
        </w:rPr>
        <w:t>The finding is "restored sites do not show significantly less burned area than</w:t>
      </w:r>
    </w:p>
    <w:p>
      <w:r>
        <w:rPr>
          <w:i w:val="0"/>
        </w:rPr>
        <w:t>matched controls," and before that is treated as a result about peatlands it has to survive three checks: power, identification, and outcome–mechanism match. It fails all three.</w:t>
      </w:r>
    </w:p>
    <w:p>
      <w:pPr>
        <w:pStyle w:val="ListBullet"/>
      </w:pPr>
      <w:r>
        <w:rPr>
          <w:i w:val="0"/>
        </w:rPr>
        <w:t>The denominator is site-years, not pixel-years. The DiD reports standard errors</w:t>
      </w:r>
    </w:p>
    <w:p>
      <w:r>
        <w:rPr>
          <w:i w:val="0"/>
        </w:rPr>
        <w:t xml:space="preserve">around </w:t>
      </w:r>
      <w:r>
        <w:rPr>
          <w:b/>
          <w:i w:val="0"/>
          <w:highlight w:val="yellow"/>
        </w:rPr>
        <w:t>[[NUM: 0.0013]]</w:t>
      </w:r>
      <w:r>
        <w:rPr>
          <w:i w:val="0"/>
        </w:rPr>
        <w:t xml:space="preserve"> because it counts ~</w:t>
      </w:r>
      <w:r>
        <w:rPr>
          <w:b/>
          <w:i w:val="0"/>
          <w:highlight w:val="yellow"/>
        </w:rPr>
        <w:t>[[NUM: 326,000]]</w:t>
      </w:r>
      <w:r>
        <w:rPr>
          <w:i w:val="0"/>
        </w:rPr>
        <w:t xml:space="preserve"> pixel-years, but treatment is assigned at the site and NC peat fire arrives as a handful of large events that paint thousands of contiguous pixels in one draw. The independent replicate is a site-year, and there are at most 36 of them.</w:t>
      </w:r>
    </w:p>
    <w:p>
      <w:pPr>
        <w:pStyle w:val="ListBullet"/>
      </w:pPr>
      <w:r>
        <w:rPr>
          <w:i w:val="0"/>
        </w:rPr>
        <w:t xml:space="preserve">Only </w:t>
      </w:r>
      <w:r>
        <w:rPr>
          <w:b/>
          <w:i w:val="0"/>
          <w:highlight w:val="yellow"/>
        </w:rPr>
        <w:t>[[NUM: 2]]</w:t>
      </w:r>
      <w:r>
        <w:rPr>
          <w:i w:val="0"/>
        </w:rPr>
        <w:t xml:space="preserve"> cohorts survive the support restriction, and they are 1–3 years</w:t>
      </w:r>
    </w:p>
    <w:p>
      <w:r>
        <w:rPr>
          <w:i w:val="0"/>
        </w:rPr>
        <w:t>post-restoration. Rewetting takes time to raise water tables to the 15–30 cm range identified as the threshold, so a 1-year post window may be measuring the pre-effect period.</w:t>
      </w:r>
    </w:p>
    <w:p>
      <w:pPr>
        <w:pStyle w:val="ListBullet"/>
      </w:pPr>
      <w:r>
        <w:rPr>
          <w:i w:val="0"/>
        </w:rPr>
        <w:t>TNC's own roadmap anticipated this: "It may be that treatment effects cannot be</w:t>
      </w:r>
    </w:p>
    <w:p>
      <w:r>
        <w:rPr>
          <w:i w:val="0"/>
        </w:rPr>
        <w:t>identified — if this is the case, document limitations." Documenting it rigorously is a planned deliverable.]]</w:t>
      </w:r>
    </w:p>
    <w:p>
      <w:pPr>
        <w:pStyle w:val="Heading3"/>
      </w:pPr>
      <w:r>
        <w:rPr>
          <w:i w:val="0"/>
        </w:rPr>
        <w:t>4.2 Burned area is the wrong outcome for the rewetting mechanism</w:t>
      </w:r>
    </w:p>
    <w:p>
      <w:r>
        <w:rPr>
          <w:i w:val="0"/>
        </w:rPr>
        <w:t>[[TODO: 2–3 paragraphs. This is the substantive scientific point and should be the part of the discussion a reader remembers. Points to hit:</w:t>
      </w:r>
    </w:p>
    <w:p>
      <w:pPr>
        <w:pStyle w:val="ListBullet"/>
      </w:pPr>
      <w:r>
        <w:rPr>
          <w:i w:val="0"/>
        </w:rPr>
        <w:t>Restored pocosins still burn at the surface; surface fire is natural and common</w:t>
      </w:r>
    </w:p>
    <w:p>
      <w:r>
        <w:rPr>
          <w:i w:val="0"/>
        </w:rPr>
        <w:t>in undrained pocosin at 20–80 year intervals, and most surface fires are low severity with respect to peat combustion.</w:t>
      </w:r>
    </w:p>
    <w:p>
      <w:pPr>
        <w:pStyle w:val="ListBullet"/>
      </w:pPr>
      <w:r>
        <w:rPr>
          <w:i w:val="0"/>
        </w:rPr>
        <w:t xml:space="preserve">What restoration changes is how </w:t>
      </w:r>
      <w:r>
        <w:rPr>
          <w:i/>
        </w:rPr>
        <w:t>deep</w:t>
      </w:r>
      <w:r>
        <w:rPr>
          <w:i w:val="0"/>
        </w:rPr>
        <w:t xml:space="preserve"> fire burns. Include the dose–response</w:t>
      </w:r>
    </w:p>
    <w:p>
      <w:r>
        <w:rPr>
          <w:i w:val="0"/>
        </w:rPr>
        <w:t>table below.</w:t>
      </w:r>
    </w:p>
    <w:p>
      <w:pPr>
        <w:pStyle w:val="ListBullet"/>
      </w:pPr>
      <w:r>
        <w:rPr>
          <w:i w:val="0"/>
        </w:rPr>
        <w:t>Burn depth is exactly what a 300 m burned-area product cannot see. The null is</w:t>
      </w:r>
    </w:p>
    <w:p>
      <w:r>
        <w:rPr>
          <w:i w:val="0"/>
        </w:rPr>
        <w:t>therefore roughly the expected result, not an anomaly — and reporting it that way is a contribution, not a consolation.]]</w:t>
      </w:r>
    </w:p>
    <w:p>
      <w:r>
        <w:rPr>
          <w:b/>
          <w:i w:val="0"/>
          <w:highlight w:val="yellow"/>
        </w:rPr>
        <w:t>[[TAB 7: Water table depth vs vertical peat loss in fire. Rows (all from `null_results_and_next_steps.md` §2, sourced from the Richardson et al. 2022 discussion — **verify each against the primary sources before publishing**): 66 cm (drained) → 12.5–24 cm loss (Reardon et al. 2007, Green Swamp); 30–38 cm → little or none (Reardon et al. 2007); ~30 cm (PLNWR prescribed, 2015) → 1–2 cm (Flanagan et al. 2020); 8 cm (restored block, PLNWR) → none observed (Richardson et al. 2022); drained, severe ground fire → ~40 cm average (Mickler et al. 2017).]]</w:t>
      </w:r>
    </w:p>
    <w:p>
      <w:pPr>
        <w:ind w:left="480"/>
      </w:pPr>
      <w:r>
        <w:rPr>
          <w:i/>
        </w:rPr>
        <w:t>Table 7. Vertical peat loss in fire as a function of water table depth, compiled from the pocosin literature. Restoration acts on this relationship, not on whether or how widely a fire spreads.</w:t>
      </w:r>
    </w:p>
    <w:p>
      <w:pPr>
        <w:pStyle w:val="Heading3"/>
      </w:pPr>
      <w:r>
        <w:rPr>
          <w:i w:val="0"/>
        </w:rPr>
        <w:t>4.3 Implications for the CPRG carbon accounting</w:t>
      </w:r>
    </w:p>
    <w:p>
      <w:r>
        <w:rPr>
          <w:i w:val="0"/>
        </w:rPr>
        <w:t>[[TODO: 1–2 paragraphs, and this is the part with direct client impact. The argument:</w:t>
      </w:r>
    </w:p>
    <w:p>
      <w:pPr>
        <w:pStyle w:val="ListBullet"/>
      </w:pPr>
      <w:r>
        <w:rPr>
          <w:i w:val="0"/>
        </w:rPr>
        <w:t>The CPRG grant's high estimate assumes restored sites experience no wildfire</w:t>
      </w:r>
    </w:p>
    <w:p>
      <w:r>
        <w:rPr>
          <w:i w:val="0"/>
        </w:rPr>
        <w:t xml:space="preserve">emissions, giving </w:t>
      </w:r>
      <w:r>
        <w:rPr>
          <w:b/>
          <w:i w:val="0"/>
          <w:highlight w:val="yellow"/>
        </w:rPr>
        <w:t>[[NUM: 22.6]]</w:t>
      </w:r>
      <w:r>
        <w:rPr>
          <w:i w:val="0"/>
        </w:rPr>
        <w:t xml:space="preserve"> Mg CO2e/ac/yr of avoided emissions.</w:t>
      </w:r>
    </w:p>
    <w:p>
      <w:pPr>
        <w:pStyle w:val="ListBullet"/>
      </w:pPr>
      <w:r>
        <w:rPr>
          <w:i w:val="0"/>
        </w:rPr>
        <w:t>These data say restored sites do burn. What they plausibly do not do is lose</w:t>
      </w:r>
    </w:p>
    <w:p>
      <w:r>
        <w:rPr>
          <w:i w:val="0"/>
        </w:rPr>
        <w:t>peat.</w:t>
      </w:r>
    </w:p>
    <w:p>
      <w:pPr>
        <w:pStyle w:val="ListBullet"/>
      </w:pPr>
      <w:r>
        <w:rPr>
          <w:i w:val="0"/>
        </w:rPr>
        <w:t>The CPRG memo's own alternative — shallow burn in restored (</w:t>
      </w:r>
      <w:r>
        <w:rPr>
          <w:b/>
          <w:i w:val="0"/>
          <w:highlight w:val="yellow"/>
        </w:rPr>
        <w:t>[[NUM: 11.1]]</w:t>
      </w:r>
      <w:r>
        <w:rPr>
          <w:i w:val="0"/>
        </w:rPr>
        <w:t xml:space="preserve"> Mg</w:t>
      </w:r>
    </w:p>
    <w:p>
      <w:r>
        <w:rPr>
          <w:i w:val="0"/>
        </w:rPr>
        <w:t>CO2e/ac) vs deep burn in drained (</w:t>
      </w:r>
      <w:r>
        <w:rPr>
          <w:b/>
          <w:i w:val="0"/>
          <w:highlight w:val="yellow"/>
        </w:rPr>
        <w:t>[[NUM: 112.1]]</w:t>
      </w:r>
      <w:r>
        <w:rPr>
          <w:i w:val="0"/>
        </w:rPr>
        <w:t xml:space="preserve"> Mg CO2e/ac), giving </w:t>
      </w:r>
      <w:r>
        <w:rPr>
          <w:b/>
          <w:i w:val="0"/>
          <w:highlight w:val="yellow"/>
        </w:rPr>
        <w:t>[[NUM: 3.4]]</w:t>
      </w:r>
      <w:r>
        <w:rPr>
          <w:i w:val="0"/>
        </w:rPr>
        <w:t xml:space="preserve"> Mg CO2e/ac/yr — is the assumption consistent with both the literature and this null. </w:t>
      </w:r>
      <w:r>
        <w:rPr>
          <w:b/>
          <w:i w:val="0"/>
        </w:rPr>
        <w:t>The null supports the revised, lower estimate.</w:t>
      </w:r>
    </w:p>
    <w:p>
      <w:pPr>
        <w:pStyle w:val="ListBullet"/>
      </w:pPr>
      <w:r>
        <w:rPr>
          <w:i w:val="0"/>
        </w:rPr>
        <w:t>The memo's own decision rule — if fire return interval exceeds 25 years, treat</w:t>
      </w:r>
    </w:p>
    <w:p>
      <w:r>
        <w:rPr>
          <w:i w:val="0"/>
        </w:rPr>
        <w:t>wildfire emission reductions as a durability benefit rather than crediting them directly — combined with a 20–86 year (most 30–60) interval, nearly settles the question in favour of a buffer-pool treatment.</w:t>
      </w:r>
    </w:p>
    <w:p>
      <w:r>
        <w:rPr>
          <w:b/>
          <w:i w:val="0"/>
          <w:highlight w:val="yellow"/>
        </w:rPr>
        <w:t>[[CHECK: every number in this section comes from the CPRG memo as summarized in `null_results_and_next_steps.md`. Pull them from the memo itself before they go in front of TNC.]]</w:t>
      </w:r>
      <w:r>
        <w:rPr>
          <w:i w:val="0"/>
        </w:rPr>
        <w:t>]]</w:t>
      </w:r>
    </w:p>
    <w:p>
      <w:pPr>
        <w:pStyle w:val="Heading3"/>
      </w:pPr>
      <w:r>
        <w:rPr>
          <w:i w:val="0"/>
        </w:rPr>
        <w:t>4.4 Decisions made, and why</w:t>
      </w:r>
    </w:p>
    <w:p>
      <w:pPr>
        <w:ind w:left="480"/>
      </w:pPr>
      <w:r>
        <w:rPr>
          <w:i/>
          <w:color w:val="666666"/>
        </w:rPr>
        <w:t>Cat's ask #2. Most of the content is scattered through the Methods; this section is the one-place summary a reader can skim. Suggested as a table so it stays short.</w:t>
      </w:r>
    </w:p>
    <w:p>
      <w:r>
        <w:rPr>
          <w:i w:val="0"/>
        </w:rPr>
        <w:t xml:space="preserve">[[TAB 8: Decision log. Columns: decision | alternative considered | why this one. Rows to include, all drafted from Part V of </w:t>
      </w:r>
      <w:r>
        <w:rPr>
          <w:rFonts w:ascii="Consolas" w:hAnsi="Consolas"/>
          <w:i w:val="0"/>
        </w:rPr>
        <w:t>modeling_notebook_explained.md</w:t>
      </w:r>
      <w:r>
        <w:rPr>
          <w:i w:val="0"/>
        </w:rPr>
        <w:t xml:space="preserve"> and Appendix A — trim to the 8–10 that a reader would actually question:</w:t>
      </w:r>
    </w:p>
    <w:p>
      <w:pPr>
        <w:pStyle w:val="ListBullet"/>
      </w:pPr>
      <w:r>
        <w:rPr>
          <w:i w:val="0"/>
        </w:rPr>
        <w:t>Peat extent uses an 80% histosol threshold, not &gt;0% | &gt;0% threshold | keeps</w:t>
      </w:r>
    </w:p>
    <w:p>
      <w:r>
        <w:rPr>
          <w:i w:val="0"/>
        </w:rPr>
        <w:t>non-peat noise out of the covariate distributions; the analysis frame should be high-confidence peat even though the descriptive extent map uses &gt;0%.</w:t>
      </w:r>
    </w:p>
    <w:p>
      <w:pPr>
        <w:pStyle w:val="ListBullet"/>
      </w:pPr>
      <w:r>
        <w:rPr>
          <w:i w:val="0"/>
        </w:rPr>
        <w:t>Matched case-control design, not a whole-landscape GLM | plain pooled GLM |</w:t>
      </w:r>
    </w:p>
    <w:p>
      <w:r>
        <w:rPr>
          <w:i w:val="0"/>
        </w:rPr>
        <w:t>matching buys covariate overlap, so the restoration effect is not confounded by where restoration happens.</w:t>
      </w:r>
    </w:p>
    <w:p>
      <w:pPr>
        <w:pStyle w:val="ListBullet"/>
      </w:pPr>
      <w:r>
        <w:rPr>
          <w:i w:val="0"/>
        </w:rPr>
        <w:t>Unit of analysis is pixel-year, clustered by site | site-year aggregate | keeps</w:t>
      </w:r>
    </w:p>
    <w:p>
      <w:r>
        <w:rPr>
          <w:i w:val="0"/>
        </w:rPr>
        <w:t>covariate variation; site-year remains the documented fallback and is what the power analysis uses.</w:t>
      </w:r>
    </w:p>
    <w:p>
      <w:pPr>
        <w:pStyle w:val="ListBullet"/>
      </w:pPr>
      <w:r>
        <w:rPr>
          <w:i w:val="0"/>
        </w:rPr>
        <w:t>Match on the full climate + soil covariate set, not elevation alone | elevation</w:t>
      </w:r>
    </w:p>
    <w:p>
      <w:r>
        <w:rPr>
          <w:i w:val="0"/>
        </w:rPr>
        <w:t>+ histosol % | on the 80% frame histosol % is nearly constant, so the original pair was effectively an elevation-only match balancing nothing.</w:t>
      </w:r>
    </w:p>
    <w:p>
      <w:pPr>
        <w:pStyle w:val="ListBullet"/>
      </w:pPr>
      <w:r>
        <w:rPr>
          <w:i w:val="0"/>
        </w:rPr>
        <w:t>Climate enters as a long-run IDW-interpolated normal | kriging | IDW is</w:t>
      </w:r>
    </w:p>
    <w:p>
      <w:r>
        <w:rPr>
          <w:i w:val="0"/>
        </w:rPr>
        <w:t>transparent, dependency-light, and never extrapolates, which is all a match-only covariate needs; kriging can be swapped in later without changing the covariate contract.</w:t>
      </w:r>
    </w:p>
    <w:p>
      <w:pPr>
        <w:pStyle w:val="ListBullet"/>
      </w:pPr>
      <w:r>
        <w:rPr>
          <w:i w:val="0"/>
        </w:rPr>
        <w:t>Analysis CRS is EPSG:5070 | the AOI's native CRS | equal-area, so area</w:t>
      </w:r>
    </w:p>
    <w:p>
      <w:r>
        <w:rPr>
          <w:i w:val="0"/>
        </w:rPr>
        <w:t>arithmetic and distances are meaningful.</w:t>
      </w:r>
    </w:p>
    <w:p>
      <w:pPr>
        <w:pStyle w:val="ListBullet"/>
      </w:pPr>
      <w:r>
        <w:rPr>
          <w:i w:val="0"/>
        </w:rPr>
        <w:t>Product-independent common grid with "max" aggregation | each product's native</w:t>
      </w:r>
    </w:p>
    <w:p>
      <w:r>
        <w:rPr>
          <w:i w:val="0"/>
        </w:rPr>
        <w:t>grid | removes spatial resolution as a confound in agreement metrics.</w:t>
      </w:r>
    </w:p>
    <w:p>
      <w:pPr>
        <w:pStyle w:val="ListBullet"/>
      </w:pPr>
      <w:r>
        <w:rPr>
          <w:i w:val="0"/>
        </w:rPr>
        <w:t>Total least squares for pairwise product scatter | OLS | both products carry</w:t>
      </w:r>
    </w:p>
    <w:p>
      <w:r>
        <w:rPr>
          <w:i w:val="0"/>
        </w:rPr>
        <w:t>error; OLS would bias the slope by treating one axis as error-free.</w:t>
      </w:r>
    </w:p>
    <w:p>
      <w:pPr>
        <w:pStyle w:val="ListBullet"/>
      </w:pPr>
      <w:r>
        <w:rPr>
          <w:i w:val="0"/>
        </w:rPr>
        <w:t>Recall is the headline validation metric; precision is conditional | symmetric</w:t>
      </w:r>
    </w:p>
    <w:p>
      <w:r>
        <w:rPr>
          <w:i w:val="0"/>
        </w:rPr>
        <w:t>precision/recall | fire perimeters are an outer boundary containing unburned islands and are not a spatially exhaustive census.</w:t>
      </w:r>
    </w:p>
    <w:p>
      <w:pPr>
        <w:pStyle w:val="ListBullet"/>
      </w:pPr>
      <w:r>
        <w:rPr>
          <w:i w:val="0"/>
        </w:rPr>
        <w:t>Callaway–Sant'Anna staggered DiD, not canonical two-period DiD | canonical</w:t>
      </w:r>
    </w:p>
    <w:p>
      <w:r>
        <w:rPr>
          <w:i w:val="0"/>
        </w:rPr>
        <w:t>DiD | canonical DiD reuses already-treated units as controls and is biased under staggered adoption.</w:t>
      </w:r>
    </w:p>
    <w:p>
      <w:pPr>
        <w:pStyle w:val="ListBullet"/>
      </w:pPr>
      <w:r>
        <w:rPr>
          <w:i w:val="0"/>
        </w:rPr>
        <w:t>Standard errors clustered by site, not pixel | pixel clustering | treatment is</w:t>
      </w:r>
    </w:p>
    <w:p>
      <w:r>
        <w:rPr>
          <w:i w:val="0"/>
        </w:rPr>
        <w:t>assigned at the site; pixel clustering produces artificially precise estimates.</w:t>
      </w:r>
    </w:p>
    <w:p>
      <w:pPr>
        <w:pStyle w:val="ListBullet"/>
      </w:pPr>
      <w:r>
        <w:rPr>
          <w:rFonts w:ascii="Consolas" w:hAnsi="Consolas"/>
          <w:i w:val="0"/>
        </w:rPr>
        <w:t>soil_water_table_depth</w:t>
      </w:r>
      <w:r>
        <w:rPr>
          <w:i w:val="0"/>
        </w:rPr>
        <w:t xml:space="preserve"> dropped | kept | positivity failure — control pixels</w:t>
      </w:r>
    </w:p>
    <w:p>
      <w:r>
        <w:rPr>
          <w:i w:val="0"/>
        </w:rPr>
        <w:t>received near-zero treatment probability for later cohorts.</w:t>
      </w:r>
    </w:p>
    <w:p>
      <w:pPr>
        <w:pStyle w:val="ListBullet"/>
      </w:pPr>
      <w:r>
        <w:rPr>
          <w:i w:val="0"/>
        </w:rPr>
        <w:t>MCD64A1 used for the modeling despite FireCCIS311's better spatial accuracy |</w:t>
      </w:r>
    </w:p>
    <w:p>
      <w:r>
        <w:rPr>
          <w:i w:val="0"/>
        </w:rPr>
        <w:t>FireCCIS311 | FireCCIS311 begins in 2019 and leaves only 3 sites with a pre-period; the pre-treatment baseline dominates spatial accuracy for a before/after design.</w:t>
      </w:r>
    </w:p>
    <w:p>
      <w:pPr>
        <w:pStyle w:val="ListBullet"/>
      </w:pPr>
      <w:r>
        <w:rPr>
          <w:i w:val="0"/>
        </w:rPr>
        <w:t>Severity dropped as an outcome | included | all three severity products are too</w:t>
      </w:r>
    </w:p>
    <w:p>
      <w:r>
        <w:rPr>
          <w:i w:val="0"/>
        </w:rPr>
        <w:t>sparse over NC peat.]]</w:t>
      </w:r>
    </w:p>
    <w:p>
      <w:pPr>
        <w:pStyle w:val="Heading3"/>
      </w:pPr>
      <w:r>
        <w:rPr>
          <w:i w:val="0"/>
        </w:rPr>
        <w:t>4.5 Limitations</w:t>
      </w:r>
    </w:p>
    <w:p>
      <w:r>
        <w:rPr>
          <w:i w:val="0"/>
        </w:rPr>
        <w:t>[[TODO: short and honest. Beyond the power and identification issues already covered:</w:t>
      </w:r>
    </w:p>
    <w:p>
      <w:pPr>
        <w:pStyle w:val="ListBullet"/>
      </w:pPr>
      <w:r>
        <w:rPr>
          <w:i w:val="0"/>
        </w:rPr>
        <w:t xml:space="preserve">Six restoration sites, of which </w:t>
      </w:r>
      <w:r>
        <w:rPr>
          <w:b/>
          <w:i w:val="0"/>
          <w:highlight w:val="yellow"/>
        </w:rPr>
        <w:t>[[NUM]]</w:t>
      </w:r>
      <w:r>
        <w:rPr>
          <w:i w:val="0"/>
        </w:rPr>
        <w:t xml:space="preserve"> usable; restoration years cluster</w:t>
      </w:r>
    </w:p>
    <w:p>
      <w:r>
        <w:rPr>
          <w:i w:val="0"/>
        </w:rPr>
        <w:t>recently.</w:t>
      </w:r>
    </w:p>
    <w:p>
      <w:pPr>
        <w:pStyle w:val="ListBullet"/>
      </w:pPr>
      <w:r>
        <w:rPr>
          <w:i w:val="0"/>
        </w:rPr>
        <w:t>Restoration site selection may be endogenous to fire history — if sites were</w:t>
      </w:r>
    </w:p>
    <w:p>
      <w:r>
        <w:rPr>
          <w:i w:val="0"/>
        </w:rPr>
        <w:t xml:space="preserve">restored partly </w:t>
      </w:r>
      <w:r>
        <w:rPr>
          <w:i/>
        </w:rPr>
        <w:t>because</w:t>
      </w:r>
      <w:r>
        <w:rPr>
          <w:i w:val="0"/>
        </w:rPr>
        <w:t xml:space="preserve"> they had recently burned or were visibly degraded, that is an Ashenfelter dip and no amount of covariate adjustment repairs it. Worth checking the restoration records for post-fire rehabilitation projects; the 2008 fire lowered the peat surface at the PD site by 0.3 m, so restoration in this landscape genuinely does follow fire. </w:t>
      </w:r>
      <w:r>
        <w:rPr>
          <w:b/>
          <w:i w:val="0"/>
          <w:highlight w:val="yellow"/>
        </w:rPr>
        <w:t>[[CHECK: this, if true, is a real limitation and should be stated even if you cannot resolve it.]]</w:t>
      </w:r>
    </w:p>
    <w:p>
      <w:pPr>
        <w:pStyle w:val="ListBullet"/>
      </w:pPr>
      <w:r>
        <w:rPr>
          <w:i w:val="0"/>
        </w:rPr>
        <w:t>Controls are matched landscape peat rather than a within-buffer donut, so</w:t>
      </w:r>
    </w:p>
    <w:p>
      <w:r>
        <w:rPr>
          <w:i w:val="0"/>
        </w:rPr>
        <w:t>conditional parallel trends leans harder on match quality than in Castro et al.'s design.</w:t>
      </w:r>
    </w:p>
    <w:p>
      <w:pPr>
        <w:pStyle w:val="ListBullet"/>
      </w:pPr>
      <w:r>
        <w:rPr>
          <w:i w:val="0"/>
        </w:rPr>
        <w:t>No negative control was run. The planned placebo — running the pipeline on</w:t>
      </w:r>
    </w:p>
    <w:p>
      <w:r>
        <w:rPr>
          <w:i/>
        </w:rPr>
        <w:t>planned but not-yet-restored</w:t>
      </w:r>
      <w:r>
        <w:rPr>
          <w:i w:val="0"/>
        </w:rPr>
        <w:t xml:space="preserve"> sites at their scheduled years, where any apparent effect flags confounding — was not completed.</w:t>
      </w:r>
    </w:p>
    <w:p>
      <w:pPr>
        <w:pStyle w:val="ListBullet"/>
      </w:pPr>
      <w:r>
        <w:rPr>
          <w:i w:val="0"/>
        </w:rPr>
        <w:t>Belowground smoldering is unmeasured by every product used.]]</w:t>
      </w:r>
    </w:p>
    <w:p>
      <w:pPr>
        <w:jc w:val="center"/>
      </w:pPr>
      <w:r>
        <w:rPr>
          <w:i/>
          <w:color w:val="666666"/>
        </w:rPr>
        <w:t xml:space="preserve"> </w:t>
      </w:r>
      <w:r>
        <w:rPr>
          <w:i w:val="0"/>
          <w:color w:val="666666"/>
        </w:rPr>
        <w:t xml:space="preserve"> *</w:t>
      </w:r>
    </w:p>
    <w:p>
      <w:pPr>
        <w:pStyle w:val="Heading2"/>
      </w:pPr>
      <w:r>
        <w:rPr>
          <w:i w:val="0"/>
        </w:rPr>
        <w:t>5. Next steps</w:t>
      </w:r>
    </w:p>
    <w:p>
      <w:pPr>
        <w:ind w:left="480"/>
      </w:pPr>
      <w:r>
        <w:rPr>
          <w:i/>
          <w:color w:val="666666"/>
        </w:rPr>
        <w:t xml:space="preserve">Cat's ask #4, and your own note says "check my meeting notes for the stuff I said I was gonna do next." I pulled them: the recurring next-steps items across the 6/4, 6/10, 6/24, 7/2, 7/9, 7/16, and 8/11 decks are listed in </w:t>
      </w:r>
      <w:r>
        <w:rPr>
          <w:rFonts w:ascii="Consolas" w:hAnsi="Consolas"/>
          <w:i/>
          <w:color w:val="666666"/>
        </w:rPr>
        <w:t>REPORT_TODO.md</w:t>
      </w:r>
      <w:r>
        <w:rPr>
          <w:i/>
          <w:color w:val="666666"/>
        </w:rPr>
        <w:t xml:space="preserve"> §D so you do not have to re-read the deck. The five below are the ones that survive the null result; the rest are superseded.</w:t>
      </w:r>
    </w:p>
    <w:p>
      <w:r>
        <w:rPr>
          <w:i w:val="0"/>
        </w:rPr>
        <w:t>Ordered by value per unit effort.</w:t>
      </w:r>
    </w:p>
    <w:p>
      <w:r>
        <w:rPr>
          <w:b/>
          <w:i w:val="0"/>
        </w:rPr>
        <w:t>5.1 Report the null as a bounded claim</w:t>
      </w:r>
      <w:r>
        <w:rPr>
          <w:i w:val="0"/>
        </w:rPr>
        <w:t xml:space="preserve"> (~1 week; do this regardless). Deliverable: a limitations memo carrying the power table, the minimum detectable effect, the randomization p-value, and the design summary (sites × pre/post years × years with fire). This converts "we found nothing" into "we can rule out nothing, and here is what would have been required." All tooling exists in </w:t>
      </w:r>
      <w:r>
        <w:rPr>
          <w:rFonts w:ascii="Consolas" w:hAnsi="Consolas"/>
          <w:i w:val="0"/>
        </w:rPr>
        <w:t>peatfire.modeling.power</w:t>
      </w:r>
      <w:r>
        <w:rPr>
          <w:i w:val="0"/>
        </w:rPr>
        <w:t>.</w:t>
      </w:r>
    </w:p>
    <w:p>
      <w:r>
        <w:rPr>
          <w:b/>
          <w:i w:val="0"/>
        </w:rPr>
        <w:t>5.2 A bounding analysis for the CPRG carbon estimate</w:t>
      </w:r>
      <w:r>
        <w:rPr>
          <w:i w:val="0"/>
        </w:rPr>
        <w:t xml:space="preserve"> (~1 week, mostly writing) — </w:t>
      </w:r>
      <w:r>
        <w:rPr>
          <w:b/>
          <w:i w:val="0"/>
        </w:rPr>
        <w:t>the recommended path to closing the GHG deliverable.</w:t>
      </w:r>
      <w:r>
        <w:rPr>
          <w:i w:val="0"/>
        </w:rPr>
        <w:t xml:space="preserve"> A Monte Carlo over the parameters that actually drive the wildfire term — fire return interval, burn depth under drained vs restored conditions, peat vs aboveground carbon contribution, emissions per fire event, peat stock, and restoration effectiveness — produces a distribution for Mg CO2e/ac/yr and a variance decomposition showing which parameter dominates the spread. A bounding analysis cannot return null; it produces a number and an uncertainty range by construction, which is what makes it the option with a guaranteed landing point. </w:t>
      </w:r>
      <w:r>
        <w:rPr>
          <w:b/>
          <w:i w:val="0"/>
        </w:rPr>
        <w:t>The null is an input to this analysis, not an obstacle to it</w:t>
      </w:r>
      <w:r>
        <w:rPr>
          <w:i w:val="0"/>
        </w:rPr>
        <w:t>: restoration effectiveness enters as a parameter with a wide prior, and §3.5's power result is what justifies the width.</w:t>
      </w:r>
    </w:p>
    <w:p>
      <w:r>
        <w:rPr>
          <w:i w:val="0"/>
        </w:rPr>
        <w:t xml:space="preserve">The falsifiable expectation, stated in advance: </w:t>
      </w:r>
      <w:r>
        <w:rPr>
          <w:b/>
          <w:i w:val="0"/>
        </w:rPr>
        <w:t>burn depth and fire return interval will dominate the variance, and restoration effectiveness — the parameter this project spent its effort trying to estimate — will contribute least.</w:t>
      </w:r>
      <w:r>
        <w:rPr>
          <w:i w:val="0"/>
        </w:rPr>
        <w:t xml:space="preserve"> If that holds, the unestimable ATT was never the parameter that mattered, and the cost of the null to TNC is much smaller than it appears. Expected recommendation: treat avoided fire as a durability / buffer-pool term sized from the distribution, rather than crediting </w:t>
      </w:r>
      <w:r>
        <w:rPr>
          <w:b/>
          <w:i w:val="0"/>
          <w:highlight w:val="yellow"/>
        </w:rPr>
        <w:t>[[NUM: 22.6]]</w:t>
      </w:r>
      <w:r>
        <w:rPr>
          <w:i w:val="0"/>
        </w:rPr>
        <w:t xml:space="preserve"> Mg CO2e/ac/yr as an annual flux.</w:t>
      </w:r>
    </w:p>
    <w:p>
      <w:r>
        <w:rPr>
          <w:b/>
          <w:i w:val="0"/>
        </w:rPr>
        <w:t>5.3 Switch the treatment variable from a six-site binary to a landscape-wide hydrologic gradient</w:t>
      </w:r>
      <w:r>
        <w:rPr>
          <w:i w:val="0"/>
        </w:rPr>
        <w:t xml:space="preserve"> — the largest available power gain. The binding constraint is six sites, but the mechanism — water table depth — varies continuously across all </w:t>
      </w:r>
      <w:r>
        <w:rPr>
          <w:b/>
          <w:i w:val="0"/>
          <w:highlight w:val="yellow"/>
        </w:rPr>
        <w:t>[[NUM: ~83,000]]</w:t>
      </w:r>
      <w:r>
        <w:rPr>
          <w:i w:val="0"/>
        </w:rPr>
        <w:t xml:space="preserve"> peat pixels, and the covariate layers are already built (HAND drainage, soil water table depth, soil drainage class). Estimating </w:t>
      </w:r>
      <w:r>
        <w:rPr>
          <w:rFonts w:ascii="Consolas" w:hAnsi="Consolas"/>
          <w:i w:val="0"/>
        </w:rPr>
        <w:t>burned ~ f(drainage) + covariates</w:t>
      </w:r>
      <w:r>
        <w:rPr>
          <w:i w:val="0"/>
        </w:rPr>
        <w:t xml:space="preserve"> across the whole peat AOI over the full MODIS record uses </w:t>
      </w:r>
      <w:r>
        <w:rPr>
          <w:b/>
          <w:i w:val="0"/>
          <w:highlight w:val="yellow"/>
        </w:rPr>
        <w:t>[[NUM: ~2 million]]</w:t>
      </w:r>
      <w:r>
        <w:rPr>
          <w:i w:val="0"/>
        </w:rPr>
        <w:t xml:space="preserve"> pixel-years and every large fire since 2001, rather than 18 site-years. It is not a clean quasi-experiment — drainage is not randomly assigned — but it targets the same causal link, and it can be pushed with ditch-density gradients, a distance-to-canal regression discontinuity at drainage-district boundaries, and matched drained/undrained pairs.</w:t>
      </w:r>
    </w:p>
    <w:p>
      <w:r>
        <w:rPr>
          <w:b/>
          <w:i w:val="0"/>
        </w:rPr>
        <w:t>5.4 Change the outcome to something that reflects burn depth</w:t>
      </w:r>
      <w:r>
        <w:rPr>
          <w:i w:val="0"/>
        </w:rPr>
        <w:t xml:space="preserve"> — the highest scientific value, ranked by feasibility:</w:t>
      </w:r>
    </w:p>
    <w:p>
      <w:pPr>
        <w:pStyle w:val="ListNumber"/>
      </w:pPr>
      <w:r>
        <w:rPr>
          <w:b/>
          <w:i w:val="0"/>
        </w:rPr>
        <w:t>VIIRS detection persistence.</w:t>
      </w:r>
      <w:r>
        <w:rPr>
          <w:i w:val="0"/>
        </w:rPr>
        <w:t xml:space="preserve"> Smoldering peat fires produce repeated</w:t>
      </w:r>
    </w:p>
    <w:p>
      <w:r>
        <w:rPr>
          <w:i w:val="0"/>
        </w:rPr>
        <w:t>active-fire detections at the same location over days to weeks; surface fires flash and stop. Detections per pixel per event, or fire duration, is a free proxy for smoldering, using data already downloaded (375 m, 2012–present). This is the cheapest real move.</w:t>
      </w:r>
    </w:p>
    <w:p>
      <w:pPr>
        <w:pStyle w:val="ListNumber"/>
      </w:pPr>
      <w:r>
        <w:rPr>
          <w:b/>
          <w:i w:val="0"/>
        </w:rPr>
        <w:t>Severity within fire perimeters.</w:t>
      </w:r>
      <w:r>
        <w:rPr>
          <w:i w:val="0"/>
        </w:rPr>
        <w:t xml:space="preserve"> Conditioning on a fire having happened</w:t>
      </w:r>
    </w:p>
    <w:p>
      <w:r>
        <w:rPr>
          <w:i w:val="0"/>
        </w:rPr>
        <w:t xml:space="preserve">removes the occurrence-rarity problem entirely, because the sample becomes burned pixels rather than all pixels. </w:t>
      </w:r>
      <w:r>
        <w:rPr>
          <w:b/>
          <w:i w:val="0"/>
          <w:highlight w:val="yellow"/>
        </w:rPr>
        <w:t>[[CHECK: this is in tension with §3.1's finding that severity products are too sparse over peat. Reconcile — the conditional analysis may still be impossible, in which case say so here.]]</w:t>
      </w:r>
    </w:p>
    <w:p>
      <w:pPr>
        <w:pStyle w:val="ListNumber"/>
      </w:pPr>
      <w:r>
        <w:rPr>
          <w:b/>
          <w:i w:val="0"/>
        </w:rPr>
        <w:t>InSAR / lidar subsidence.</w:t>
      </w:r>
      <w:r>
        <w:rPr>
          <w:i w:val="0"/>
        </w:rPr>
        <w:t xml:space="preserve"> Peat surface elevation loss after a fire is the</w:t>
      </w:r>
    </w:p>
    <w:p>
      <w:r>
        <w:rPr>
          <w:i w:val="0"/>
        </w:rPr>
        <w:t>direct measurement of burn depth. Repeat lidar exists for coastal NC via the NC Floodplain Mapping Program; pre/post-fire DEM differencing over the 2008 and 2011 fires would produce actual burn-depth numbers for NC.</w:t>
      </w:r>
    </w:p>
    <w:p>
      <w:r>
        <w:rPr>
          <w:b/>
          <w:i w:val="0"/>
        </w:rPr>
        <w:t>5.5 A prospective monitoring design.</w:t>
      </w:r>
      <w:r>
        <w:rPr>
          <w:i w:val="0"/>
        </w:rPr>
        <w:t xml:space="preserve"> Use </w:t>
      </w:r>
      <w:r>
        <w:rPr>
          <w:rFonts w:ascii="Consolas" w:hAnsi="Consolas"/>
          <w:i w:val="0"/>
        </w:rPr>
        <w:t>sample_size_curve()</w:t>
      </w:r>
      <w:r>
        <w:rPr>
          <w:i w:val="0"/>
        </w:rPr>
        <w:t xml:space="preserve"> to state what an 80%-powered test would require, then recommend the instrumentation now: water table wells at restored </w:t>
      </w:r>
      <w:r>
        <w:rPr>
          <w:i/>
        </w:rPr>
        <w:t>and</w:t>
      </w:r>
      <w:r>
        <w:rPr>
          <w:i w:val="0"/>
        </w:rPr>
        <w:t xml:space="preserve"> paired control sites, peat depth pins or rod-surface-elevation tables to measure burn depth after the next fire, and pre-registration of the analysis. Pair this with the negative control the roadmap already calls for.</w:t>
      </w:r>
    </w:p>
    <w:p>
      <w:r>
        <w:rPr>
          <w:b/>
          <w:i w:val="0"/>
        </w:rPr>
        <w:t>What not to do.</w:t>
      </w:r>
      <w:r>
        <w:rPr>
          <w:i w:val="0"/>
        </w:rPr>
        <w:t xml:space="preserve"> Three things would look like progress and are not: adding more covariates to rescue the ATT (the problem is 18 site-years and a mismatched outcome, not omitted variables, and more covariates worsen the positivity failure that already forced out </w:t>
      </w:r>
      <w:r>
        <w:rPr>
          <w:rFonts w:ascii="Consolas" w:hAnsi="Consolas"/>
          <w:i w:val="0"/>
        </w:rPr>
        <w:t>soil_water_table_depth</w:t>
      </w:r>
      <w:r>
        <w:rPr>
          <w:i w:val="0"/>
        </w:rPr>
        <w:t>); loosening the caliper or reverting to pixel-level clustering to recover significance (the apparent precision of the pixel-clustered estimate is the artifact, not the result); and reporting the ATT(</w:t>
      </w:r>
      <w:r>
        <w:rPr>
          <w:b/>
          <w:i w:val="0"/>
          <w:highlight w:val="yellow"/>
        </w:rPr>
        <w:t>[[NUM: 2]]</w:t>
      </w:r>
      <w:r>
        <w:rPr>
          <w:i w:val="0"/>
        </w:rPr>
        <w:t xml:space="preserve">) = </w:t>
      </w:r>
      <w:r>
        <w:rPr>
          <w:b/>
          <w:i w:val="0"/>
          <w:highlight w:val="yellow"/>
        </w:rPr>
        <w:t>[[NUM: −0.096]]</w:t>
      </w:r>
      <w:r>
        <w:rPr>
          <w:i w:val="0"/>
        </w:rPr>
        <w:t xml:space="preserve"> event-study point as an effect, since at this cluster count one fire in one year drives it.</w:t>
      </w:r>
    </w:p>
    <w:p>
      <w:pPr>
        <w:jc w:val="center"/>
      </w:pPr>
      <w:r>
        <w:rPr>
          <w:i/>
          <w:color w:val="666666"/>
        </w:rPr>
        <w:t xml:space="preserve"> </w:t>
      </w:r>
      <w:r>
        <w:rPr>
          <w:i w:val="0"/>
          <w:color w:val="666666"/>
        </w:rPr>
        <w:t xml:space="preserve"> *</w:t>
      </w:r>
    </w:p>
    <w:p>
      <w:pPr>
        <w:pStyle w:val="Heading2"/>
      </w:pPr>
      <w:r>
        <w:rPr>
          <w:i w:val="0"/>
        </w:rPr>
        <w:t>References</w:t>
      </w:r>
    </w:p>
    <w:p>
      <w:pPr>
        <w:ind w:left="480"/>
      </w:pPr>
      <w:r>
        <w:rPr>
          <w:i/>
          <w:color w:val="666666"/>
        </w:rPr>
        <w:t>Every citation used in the drafted prose above. Verify and format to whatever style Cat wants; the modeling guide's reference list has full entries for the methods citations.</w:t>
      </w:r>
    </w:p>
    <w:p>
      <w:r>
        <w:rPr>
          <w:b/>
          <w:i w:val="0"/>
        </w:rPr>
        <w:t>Peatland fire and carbon</w:t>
      </w:r>
    </w:p>
    <w:p>
      <w:pPr>
        <w:pStyle w:val="ListBullet"/>
      </w:pPr>
      <w:r>
        <w:rPr>
          <w:i w:val="0"/>
        </w:rPr>
        <w:t>Richardson, C.J. et al. (2022). *Annual carbon sequestration and loss rates</w:t>
      </w:r>
    </w:p>
    <w:p>
      <w:r>
        <w:rPr>
          <w:i w:val="0"/>
        </w:rPr>
        <w:t>under altered hydrology and fire regimes in southeastern USA pocosin peatlands.* Global Change Biology 28:6370–6384.</w:t>
      </w:r>
    </w:p>
    <w:p>
      <w:pPr>
        <w:pStyle w:val="ListBullet"/>
      </w:pPr>
      <w:r>
        <w:rPr>
          <w:i w:val="0"/>
        </w:rPr>
        <w:t>Reardon, J. et al. (2007). Peat consumption vs. water table position, Green</w:t>
      </w:r>
    </w:p>
    <w:p>
      <w:r>
        <w:rPr>
          <w:i w:val="0"/>
        </w:rPr>
        <w:t xml:space="preserve">Swamp, NC. </w:t>
      </w:r>
      <w:r>
        <w:rPr>
          <w:b/>
          <w:i w:val="0"/>
          <w:highlight w:val="yellow"/>
        </w:rPr>
        <w:t>[[TODO: full citation]]</w:t>
      </w:r>
    </w:p>
    <w:p>
      <w:pPr>
        <w:pStyle w:val="ListBullet"/>
      </w:pPr>
      <w:r>
        <w:rPr>
          <w:i w:val="0"/>
        </w:rPr>
        <w:t>Flanagan, N.E. et al. (2020). Prescribed fire peat loss at Pocosin Lakes NWR.</w:t>
      </w:r>
    </w:p>
    <w:p>
      <w:r>
        <w:rPr>
          <w:b/>
          <w:i w:val="0"/>
          <w:highlight w:val="yellow"/>
        </w:rPr>
        <w:t>[[TODO: full citation]]</w:t>
      </w:r>
    </w:p>
    <w:p>
      <w:pPr>
        <w:pStyle w:val="ListBullet"/>
      </w:pPr>
      <w:r>
        <w:rPr>
          <w:i w:val="0"/>
        </w:rPr>
        <w:t>Mickler, R.A. et al. (2017). Deep peat fire consumption, Pocosin Lakes.</w:t>
      </w:r>
    </w:p>
    <w:p>
      <w:r>
        <w:rPr>
          <w:b/>
          <w:i w:val="0"/>
          <w:highlight w:val="yellow"/>
        </w:rPr>
        <w:t>[[TODO: full citation]]</w:t>
      </w:r>
    </w:p>
    <w:p>
      <w:pPr>
        <w:pStyle w:val="ListBullet"/>
      </w:pPr>
      <w:r>
        <w:rPr>
          <w:i w:val="0"/>
        </w:rPr>
        <w:t>Poulter, B. et al. (2006). Pocosin fire return intervals and emissions.</w:t>
      </w:r>
    </w:p>
    <w:p>
      <w:r>
        <w:rPr>
          <w:b/>
          <w:i w:val="0"/>
          <w:highlight w:val="yellow"/>
        </w:rPr>
        <w:t>[[TODO: full citation]]</w:t>
      </w:r>
    </w:p>
    <w:p>
      <w:r>
        <w:rPr>
          <w:b/>
          <w:i w:val="0"/>
        </w:rPr>
        <w:t>Design and methods</w:t>
      </w:r>
    </w:p>
    <w:p>
      <w:pPr>
        <w:pStyle w:val="ListBullet"/>
      </w:pPr>
      <w:r>
        <w:rPr>
          <w:i w:val="0"/>
        </w:rPr>
        <w:t>Callaway, B. &amp; Sant'Anna, P.H.C. (2021). *Difference-in-differences with</w:t>
      </w:r>
    </w:p>
    <w:p>
      <w:r>
        <w:rPr>
          <w:i w:val="0"/>
        </w:rPr>
        <w:t>multiple time periods.* Journal of Econometrics 225(2):200–230.</w:t>
      </w:r>
    </w:p>
    <w:p>
      <w:pPr>
        <w:pStyle w:val="ListBullet"/>
      </w:pPr>
      <w:r>
        <w:rPr>
          <w:i w:val="0"/>
        </w:rPr>
        <w:t xml:space="preserve">Castro, </w:t>
      </w:r>
      <w:r>
        <w:rPr>
          <w:b/>
          <w:i w:val="0"/>
          <w:highlight w:val="yellow"/>
        </w:rPr>
        <w:t>[[TODO: initials]]</w:t>
      </w:r>
      <w:r>
        <w:rPr>
          <w:i w:val="0"/>
        </w:rPr>
        <w:t xml:space="preserve"> et al. (2026). [[TODO: title — the Kalimantan</w:t>
      </w:r>
    </w:p>
    <w:p>
      <w:r>
        <w:rPr>
          <w:i w:val="0"/>
        </w:rPr>
        <w:t>canal-block rewetting study this design transplants.]]</w:t>
      </w:r>
    </w:p>
    <w:p>
      <w:pPr>
        <w:pStyle w:val="ListBullet"/>
      </w:pPr>
      <w:r>
        <w:rPr>
          <w:i w:val="0"/>
        </w:rPr>
        <w:t>Rosenbaum, P. &amp; Rubin, D. (1983). *The central role of the propensity score in</w:t>
      </w:r>
    </w:p>
    <w:p>
      <w:r>
        <w:rPr>
          <w:i w:val="0"/>
        </w:rPr>
        <w:t>observational studies for causal effects.* Biometrika 70(1):41–55.</w:t>
      </w:r>
    </w:p>
    <w:p>
      <w:pPr>
        <w:pStyle w:val="ListBullet"/>
      </w:pPr>
      <w:r>
        <w:rPr>
          <w:i w:val="0"/>
        </w:rPr>
        <w:t xml:space="preserve">Hansen, B.B. (2008). </w:t>
      </w:r>
      <w:r>
        <w:rPr>
          <w:i/>
        </w:rPr>
        <w:t>The prognostic analogue of the propensity score.</w:t>
      </w:r>
    </w:p>
    <w:p>
      <w:r>
        <w:rPr>
          <w:i w:val="0"/>
        </w:rPr>
        <w:t>Biometrika 95(2):481–488.</w:t>
      </w:r>
    </w:p>
    <w:p>
      <w:r>
        <w:rPr>
          <w:b/>
          <w:i w:val="0"/>
        </w:rPr>
        <w:t>Data</w:t>
      </w:r>
    </w:p>
    <w:p>
      <w:pPr>
        <w:pStyle w:val="ListBullet"/>
      </w:pPr>
      <w:r>
        <w:rPr>
          <w:i w:val="0"/>
        </w:rPr>
        <w:t>Lilleskov, E. et al. (2025). gSSURGO major-histosol percentage. [[TODO: full</w:t>
      </w:r>
    </w:p>
    <w:p>
      <w:r>
        <w:rPr>
          <w:i w:val="0"/>
        </w:rPr>
        <w:t>citation]]</w:t>
      </w:r>
    </w:p>
    <w:p>
      <w:pPr>
        <w:pStyle w:val="ListBullet"/>
      </w:pPr>
      <w:r>
        <w:rPr>
          <w:i w:val="0"/>
        </w:rPr>
        <w:t>Humber, M.L. et al. (2019). *Spatial and temporal intercomparison of four</w:t>
      </w:r>
    </w:p>
    <w:p>
      <w:r>
        <w:rPr>
          <w:i w:val="0"/>
        </w:rPr>
        <w:t xml:space="preserve">global burned area products.* </w:t>
      </w:r>
      <w:r>
        <w:rPr>
          <w:b/>
          <w:i w:val="0"/>
          <w:highlight w:val="yellow"/>
        </w:rPr>
        <w:t>[[TODO: verify]]</w:t>
      </w:r>
    </w:p>
    <w:p>
      <w:pPr>
        <w:pStyle w:val="ListBullet"/>
      </w:pPr>
      <w:r>
        <w:rPr>
          <w:i w:val="0"/>
        </w:rPr>
        <w:t>Vetrita, Y. et al. (2021). [[TODO: small-fire omission in tropical peatlands —</w:t>
      </w:r>
    </w:p>
    <w:p>
      <w:r>
        <w:rPr>
          <w:i w:val="0"/>
        </w:rPr>
        <w:t>verify]]</w:t>
      </w:r>
    </w:p>
    <w:p>
      <w:pPr>
        <w:jc w:val="center"/>
      </w:pPr>
      <w:r>
        <w:rPr>
          <w:i/>
          <w:color w:val="666666"/>
        </w:rPr>
        <w:t xml:space="preserve"> </w:t>
      </w:r>
      <w:r>
        <w:rPr>
          <w:i w:val="0"/>
          <w:color w:val="666666"/>
        </w:rPr>
        <w:t xml:space="preserve"> *</w:t>
      </w:r>
    </w:p>
    <w:p>
      <w:pPr>
        <w:pStyle w:val="Heading2"/>
      </w:pPr>
      <w:r>
        <w:rPr>
          <w:i w:val="0"/>
        </w:rPr>
        <w:t>Appendix A — Supplementary figures</w:t>
      </w:r>
    </w:p>
    <w:p>
      <w:r>
        <w:rPr>
          <w:b/>
          <w:i w:val="0"/>
          <w:highlight w:val="yellow"/>
        </w:rPr>
        <w:t>[[CUT? Only if the main text is already long enough. Candidates: burn rate vs covariate panels for the products/resolutions not shown in Figure 8 (FireCCIS311 at 300 m; MCD64A1 at 500 m — slides 20–34); per-site burn rate plots (slides 35–40); propensity and prognostic score maps and overlap diagnostics (slides 4–7, 52–54); the NC-wide (non-peat) validation results (slides 108–109).]]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