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37AF5E" w14:textId="0FA44D77" w:rsidR="00ED73A7" w:rsidRDefault="00267D70" w:rsidP="00267D70">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7EE957E9" w14:textId="501F951C" w:rsidR="001E628D" w:rsidRPr="00267D70" w:rsidRDefault="001E628D" w:rsidP="00267D70">
      <w:pPr>
        <w:jc w:val="center"/>
      </w:pPr>
      <w:r>
        <w:t>September 2026</w:t>
      </w:r>
    </w:p>
    <w:p w14:paraId="4CED73CE" w14:textId="56735D14" w:rsidR="0084198C" w:rsidRDefault="0084198C" w:rsidP="0016126F">
      <w:pPr>
        <w:pStyle w:val="Heading1"/>
      </w:pPr>
      <w:r>
        <w:t>Summary</w:t>
      </w:r>
    </w:p>
    <w:p w14:paraId="482C2A92" w14:textId="42CCFC07" w:rsidR="009E32DF" w:rsidRDefault="009E32DF" w:rsidP="0016126F">
      <w:pPr>
        <w:pStyle w:val="Heading1"/>
      </w:pPr>
      <w:commentRangeStart w:id="0"/>
      <w:commentRangeStart w:id="1"/>
      <w:r>
        <w:t>Intro</w:t>
      </w:r>
      <w:commentRangeEnd w:id="0"/>
      <w:r w:rsidR="00F616C0">
        <w:rPr>
          <w:rStyle w:val="CommentReference"/>
          <w:sz w:val="40"/>
          <w:szCs w:val="40"/>
        </w:rPr>
        <w:commentReference w:id="0"/>
      </w:r>
      <w:commentRangeEnd w:id="1"/>
      <w:r w:rsidR="002C1431">
        <w:rPr>
          <w:rStyle w:val="CommentReference"/>
          <w:sz w:val="40"/>
          <w:szCs w:val="40"/>
        </w:rPr>
        <w:commentReference w:id="1"/>
      </w:r>
    </w:p>
    <w:p w14:paraId="04AA9561" w14:textId="6C838873" w:rsidR="00E5309D" w:rsidRDefault="00E5309D" w:rsidP="00E5309D">
      <w:r>
        <w:tab/>
      </w:r>
      <w:r w:rsidR="00AB16A9">
        <w:t>This project</w:t>
      </w:r>
      <w:r w:rsidR="00915BBE">
        <w:t xml:space="preserve"> compared the results from several 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 peatlands</w:t>
      </w:r>
      <w:r w:rsidR="00141E1C">
        <w:t xml:space="preserve">. It then </w:t>
      </w:r>
      <w:r w:rsidR="00AB16A9">
        <w:t xml:space="preserve">examined whether </w:t>
      </w:r>
      <w:r w:rsidR="003C3151">
        <w:t xml:space="preserve">peatland restoration via </w:t>
      </w:r>
      <w:r w:rsidR="000633E7">
        <w:t xml:space="preserve">rewetting reduced burned area in </w:t>
      </w:r>
      <w:r w:rsidR="00DD2980">
        <w:t>6 peatland</w:t>
      </w:r>
      <w:r w:rsidR="000633E7">
        <w:t xml:space="preserve"> sites</w:t>
      </w:r>
      <w:r w:rsidR="00DD2980">
        <w:t xml:space="preserve"> restored by TNC</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646B8147"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7958C8">
        <w:t xml:space="preserve">(Fig. X) </w:t>
      </w:r>
      <w:r w:rsidR="003C3151">
        <w:t xml:space="preserve">precluded conclusive claims about the impact of peatland restoration </w:t>
      </w:r>
      <w:r w:rsidR="003F24D3">
        <w:t xml:space="preserve">on </w:t>
      </w:r>
      <w:r w:rsidR="001924DC">
        <w:t>burned area</w:t>
      </w:r>
      <w:r w:rsidR="00191722">
        <w:t>, due to this limited spatial and temporal extent of data on restored sites</w:t>
      </w:r>
      <w:r w:rsidR="001924DC">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9"/>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1D468FDF" w:rsidR="002F4362" w:rsidRDefault="002F4362" w:rsidP="0010505C">
      <w:pPr>
        <w:jc w:val="center"/>
      </w:pPr>
      <w:r>
        <w:t>Figure X. North Carolina peat extent.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5240CB42" w14:textId="289F3653" w:rsidR="007958C8" w:rsidRDefault="007958C8" w:rsidP="0010505C">
      <w:pPr>
        <w:jc w:val="center"/>
      </w:pPr>
      <w:r>
        <w:t>Figure X. Completed TNC Restoration Sites</w:t>
      </w:r>
      <w:r w:rsidR="001B55F1">
        <w:t>. Sites are labeled with name and completion year and marked with a red star.</w:t>
      </w:r>
    </w:p>
    <w:p w14:paraId="3D9C003D" w14:textId="25B08A61" w:rsidR="00AD2CD6" w:rsidRDefault="00AD2CD6" w:rsidP="00E5309D"/>
    <w:p w14:paraId="3DD03EFD" w14:textId="5725A5B7" w:rsidR="00AD2CD6" w:rsidRDefault="00AD2CD6" w:rsidP="00E5309D"/>
    <w:p w14:paraId="0BC7F3F6" w14:textId="32399925" w:rsidR="00AD2CD6" w:rsidRDefault="00AD2CD6" w:rsidP="00E5309D"/>
    <w:p w14:paraId="060CA773" w14:textId="11CFA7F1" w:rsidR="00AD2CD6" w:rsidRDefault="00AD2CD6" w:rsidP="00E5309D"/>
    <w:p w14:paraId="189EAAC9" w14:textId="7275BB71" w:rsidR="00AD2CD6" w:rsidRDefault="00AD2CD6" w:rsidP="00E5309D"/>
    <w:p w14:paraId="24A48A27" w14:textId="77777777" w:rsidR="00AD2CD6" w:rsidRDefault="00AD2CD6" w:rsidP="00E5309D"/>
    <w:p w14:paraId="6A61F8E6" w14:textId="77777777" w:rsidR="00AD2CD6" w:rsidRDefault="00AD2CD6" w:rsidP="00E5309D"/>
    <w:p w14:paraId="683E6C5B" w14:textId="77777777" w:rsidR="00AD2CD6" w:rsidRDefault="00AD2CD6" w:rsidP="00E5309D"/>
    <w:p w14:paraId="6FF9D51F" w14:textId="3C1FED24" w:rsidR="00E5309D" w:rsidRDefault="00E5309D" w:rsidP="0016126F">
      <w:pPr>
        <w:pStyle w:val="Heading1"/>
      </w:pPr>
      <w:r>
        <w:t>Methods</w:t>
      </w:r>
    </w:p>
    <w:p w14:paraId="14467692" w14:textId="607547A4" w:rsidR="008A6C04" w:rsidRDefault="009D4757" w:rsidP="008A6C04">
      <w:pPr>
        <w:pStyle w:val="Heading2"/>
      </w:pPr>
      <w:commentRangeStart w:id="2"/>
      <w:commentRangeStart w:id="3"/>
      <w:r>
        <w:t>Data Sources</w:t>
      </w:r>
      <w:r w:rsidR="00665D16">
        <w:t xml:space="preserve"> </w:t>
      </w:r>
      <w:commentRangeEnd w:id="2"/>
      <w:r w:rsidR="00FA01A4">
        <w:rPr>
          <w:rStyle w:val="CommentReference"/>
          <w:sz w:val="32"/>
          <w:szCs w:val="32"/>
        </w:rPr>
        <w:commentReference w:id="2"/>
      </w:r>
      <w:commentRangeEnd w:id="3"/>
      <w:r w:rsidR="0034367F">
        <w:rPr>
          <w:rStyle w:val="CommentReference"/>
          <w:sz w:val="32"/>
          <w:szCs w:val="32"/>
        </w:rPr>
        <w:commentReference w:id="3"/>
      </w:r>
      <w:r w:rsidR="0034367F">
        <w:t>Used for Report</w:t>
      </w:r>
    </w:p>
    <w:tbl>
      <w:tblPr>
        <w:tblStyle w:val="TableGrid"/>
        <w:tblW w:w="0" w:type="auto"/>
        <w:tblLook w:val="04A0" w:firstRow="1" w:lastRow="0" w:firstColumn="1" w:lastColumn="0" w:noHBand="0" w:noVBand="1"/>
      </w:tblPr>
      <w:tblGrid>
        <w:gridCol w:w="1407"/>
        <w:gridCol w:w="1119"/>
        <w:gridCol w:w="1077"/>
        <w:gridCol w:w="956"/>
        <w:gridCol w:w="4213"/>
        <w:gridCol w:w="578"/>
      </w:tblGrid>
      <w:tr w:rsidR="007A25CD" w14:paraId="53D24060" w14:textId="4F874185" w:rsidTr="007A25CD">
        <w:tc>
          <w:tcPr>
            <w:tcW w:w="1515" w:type="dxa"/>
          </w:tcPr>
          <w:p w14:paraId="0339C5AB" w14:textId="6315B9AD" w:rsidR="007A25CD" w:rsidRDefault="007A25CD" w:rsidP="00522E48">
            <w:r>
              <w:t>Dataset</w:t>
            </w:r>
          </w:p>
        </w:tc>
        <w:tc>
          <w:tcPr>
            <w:tcW w:w="1277" w:type="dxa"/>
          </w:tcPr>
          <w:p w14:paraId="279ECA8E" w14:textId="52FE1F8F" w:rsidR="007A25CD" w:rsidRDefault="007A25CD" w:rsidP="00522E48">
            <w:r>
              <w:t>Role in analysis</w:t>
            </w:r>
          </w:p>
        </w:tc>
        <w:tc>
          <w:tcPr>
            <w:tcW w:w="1154" w:type="dxa"/>
          </w:tcPr>
          <w:p w14:paraId="0E2B1B7D" w14:textId="09BC6AAC" w:rsidR="007A25CD" w:rsidRDefault="007A25CD" w:rsidP="00522E48">
            <w:r>
              <w:t>Native Resolution</w:t>
            </w:r>
          </w:p>
        </w:tc>
        <w:tc>
          <w:tcPr>
            <w:tcW w:w="221" w:type="dxa"/>
          </w:tcPr>
          <w:p w14:paraId="37ED13D3" w14:textId="7E2B9677" w:rsidR="007A25CD" w:rsidRDefault="007A25CD" w:rsidP="00522E48">
            <w:r>
              <w:t>Temporal coverage</w:t>
            </w:r>
          </w:p>
        </w:tc>
        <w:tc>
          <w:tcPr>
            <w:tcW w:w="4572" w:type="dxa"/>
          </w:tcPr>
          <w:p w14:paraId="5A60EF89" w14:textId="145FBD47" w:rsidR="007A25CD" w:rsidRDefault="007A25CD" w:rsidP="00522E48">
            <w:r>
              <w:t>Source/citation</w:t>
            </w:r>
          </w:p>
        </w:tc>
        <w:tc>
          <w:tcPr>
            <w:tcW w:w="611" w:type="dxa"/>
          </w:tcPr>
          <w:p w14:paraId="12E9787D" w14:textId="3217F0B8" w:rsidR="007A25CD" w:rsidRDefault="007A25CD" w:rsidP="00522E48">
            <w:r>
              <w:t>Box path</w:t>
            </w:r>
          </w:p>
        </w:tc>
      </w:tr>
      <w:tr w:rsidR="007A25CD" w14:paraId="23344EEB" w14:textId="1EA449B3" w:rsidTr="007A25CD">
        <w:tc>
          <w:tcPr>
            <w:tcW w:w="1515" w:type="dxa"/>
          </w:tcPr>
          <w:p w14:paraId="43FC790B" w14:textId="7BFAEE43" w:rsidR="007A25CD" w:rsidRDefault="007A25CD" w:rsidP="00522E48">
            <w:r w:rsidRPr="00FF57F7">
              <w:t>MCD64A1_061</w:t>
            </w:r>
          </w:p>
        </w:tc>
        <w:tc>
          <w:tcPr>
            <w:tcW w:w="1277" w:type="dxa"/>
          </w:tcPr>
          <w:p w14:paraId="300144EF" w14:textId="392A2402" w:rsidR="007A25CD" w:rsidRDefault="007A25CD" w:rsidP="00522E48">
            <w:r w:rsidRPr="00D034E1">
              <w:t xml:space="preserve">MODIS Terra+Aqua Burned Area Monthly </w:t>
            </w:r>
            <w:r w:rsidRPr="00D034E1">
              <w:lastRenderedPageBreak/>
              <w:t>500m</w:t>
            </w:r>
            <w:r w:rsidR="00755886">
              <w:t xml:space="preserve">. </w:t>
            </w:r>
            <w:r w:rsidR="003371C3">
              <w:t xml:space="preserve">Used for the </w:t>
            </w:r>
            <w:r w:rsidR="00640106">
              <w:t>Difference</w:t>
            </w:r>
            <w:r w:rsidR="00DC324B">
              <w:t xml:space="preserve"> in differences (</w:t>
            </w:r>
            <w:r w:rsidR="003371C3">
              <w:t>DiD</w:t>
            </w:r>
            <w:r w:rsidR="00DC324B">
              <w:t>)</w:t>
            </w:r>
            <w:r w:rsidR="003371C3">
              <w:t xml:space="preserve"> and logistic regression models.</w:t>
            </w:r>
          </w:p>
        </w:tc>
        <w:tc>
          <w:tcPr>
            <w:tcW w:w="1154" w:type="dxa"/>
          </w:tcPr>
          <w:p w14:paraId="13877DBD" w14:textId="77777777" w:rsidR="007A25CD" w:rsidRPr="00D034E1" w:rsidRDefault="007A25CD" w:rsidP="00522E48"/>
        </w:tc>
        <w:tc>
          <w:tcPr>
            <w:tcW w:w="221" w:type="dxa"/>
          </w:tcPr>
          <w:p w14:paraId="0908DD57" w14:textId="77777777" w:rsidR="007A25CD" w:rsidRPr="00D034E1" w:rsidRDefault="007A25CD" w:rsidP="00522E48"/>
        </w:tc>
        <w:tc>
          <w:tcPr>
            <w:tcW w:w="4572" w:type="dxa"/>
          </w:tcPr>
          <w:p w14:paraId="47BC707D" w14:textId="67B0E9DE" w:rsidR="007A25CD" w:rsidRDefault="007A25CD" w:rsidP="00522E48">
            <w:r w:rsidRPr="00D034E1">
              <w:t>NASA LP DAAC (https://e4ftl01.cr.usgs.gov/MOTA/MCD64A1.061/)</w:t>
            </w:r>
          </w:p>
        </w:tc>
        <w:tc>
          <w:tcPr>
            <w:tcW w:w="611" w:type="dxa"/>
          </w:tcPr>
          <w:p w14:paraId="1FAC098F" w14:textId="77777777" w:rsidR="007A25CD" w:rsidRDefault="007A25CD" w:rsidP="00522E48"/>
        </w:tc>
      </w:tr>
      <w:tr w:rsidR="007A25CD" w14:paraId="19810002" w14:textId="0F1917DA" w:rsidTr="007A25CD">
        <w:tc>
          <w:tcPr>
            <w:tcW w:w="1515" w:type="dxa"/>
          </w:tcPr>
          <w:p w14:paraId="28C4493E" w14:textId="6B2A4E82" w:rsidR="007A25CD" w:rsidRDefault="007A25CD" w:rsidP="00522E48">
            <w:r>
              <w:t>FireCCIS311</w:t>
            </w:r>
          </w:p>
        </w:tc>
        <w:tc>
          <w:tcPr>
            <w:tcW w:w="1277" w:type="dxa"/>
          </w:tcPr>
          <w:p w14:paraId="31EA4546" w14:textId="77777777" w:rsidR="007A25CD" w:rsidRDefault="007A25CD" w:rsidP="00522E48"/>
        </w:tc>
        <w:tc>
          <w:tcPr>
            <w:tcW w:w="1154" w:type="dxa"/>
          </w:tcPr>
          <w:p w14:paraId="5035911C" w14:textId="77777777" w:rsidR="007A25CD" w:rsidRDefault="007A25CD" w:rsidP="00522E48"/>
        </w:tc>
        <w:tc>
          <w:tcPr>
            <w:tcW w:w="221" w:type="dxa"/>
          </w:tcPr>
          <w:p w14:paraId="5C05710D" w14:textId="77777777" w:rsidR="007A25CD" w:rsidRDefault="007A25CD" w:rsidP="00522E48"/>
        </w:tc>
        <w:tc>
          <w:tcPr>
            <w:tcW w:w="4572" w:type="dxa"/>
          </w:tcPr>
          <w:p w14:paraId="0D3A8806" w14:textId="49F1CAFF" w:rsidR="007A25CD" w:rsidRDefault="007A25CD" w:rsidP="00522E48"/>
        </w:tc>
        <w:tc>
          <w:tcPr>
            <w:tcW w:w="611" w:type="dxa"/>
          </w:tcPr>
          <w:p w14:paraId="50B4BA6B" w14:textId="77777777" w:rsidR="007A25CD" w:rsidRDefault="007A25CD" w:rsidP="00522E48"/>
        </w:tc>
      </w:tr>
      <w:tr w:rsidR="007A25CD" w14:paraId="13E69F6C" w14:textId="54825DFC" w:rsidTr="007A25CD">
        <w:tc>
          <w:tcPr>
            <w:tcW w:w="1515" w:type="dxa"/>
          </w:tcPr>
          <w:p w14:paraId="04EA1E8D" w14:textId="3A6FF807" w:rsidR="007A25CD" w:rsidRDefault="007A25CD" w:rsidP="00522E48">
            <w:r>
              <w:t>Soil stuff</w:t>
            </w:r>
          </w:p>
        </w:tc>
        <w:tc>
          <w:tcPr>
            <w:tcW w:w="1277" w:type="dxa"/>
          </w:tcPr>
          <w:p w14:paraId="65D1A6DA" w14:textId="77777777" w:rsidR="007A25CD" w:rsidRDefault="007A25CD" w:rsidP="00522E48"/>
        </w:tc>
        <w:tc>
          <w:tcPr>
            <w:tcW w:w="1154" w:type="dxa"/>
          </w:tcPr>
          <w:p w14:paraId="1BED2C96" w14:textId="77777777" w:rsidR="007A25CD" w:rsidRDefault="007A25CD" w:rsidP="00522E48"/>
        </w:tc>
        <w:tc>
          <w:tcPr>
            <w:tcW w:w="221" w:type="dxa"/>
          </w:tcPr>
          <w:p w14:paraId="7025DE49" w14:textId="77777777" w:rsidR="007A25CD" w:rsidRDefault="007A25CD" w:rsidP="00522E48"/>
        </w:tc>
        <w:tc>
          <w:tcPr>
            <w:tcW w:w="4572" w:type="dxa"/>
          </w:tcPr>
          <w:p w14:paraId="24A2C830" w14:textId="379BD422" w:rsidR="007A25CD" w:rsidRDefault="007A25CD" w:rsidP="00522E48"/>
        </w:tc>
        <w:tc>
          <w:tcPr>
            <w:tcW w:w="611" w:type="dxa"/>
          </w:tcPr>
          <w:p w14:paraId="285C81D0" w14:textId="77777777" w:rsidR="007A25CD" w:rsidRDefault="007A25CD" w:rsidP="00522E48"/>
        </w:tc>
      </w:tr>
      <w:tr w:rsidR="007A25CD" w14:paraId="10B3E013" w14:textId="0EAC3DD3" w:rsidTr="007A25CD">
        <w:tc>
          <w:tcPr>
            <w:tcW w:w="1515" w:type="dxa"/>
          </w:tcPr>
          <w:p w14:paraId="558CEFE7" w14:textId="65283504" w:rsidR="007A25CD" w:rsidRDefault="001D104C" w:rsidP="00162364">
            <w:r>
              <w:t>Restoration sites</w:t>
            </w:r>
          </w:p>
        </w:tc>
        <w:tc>
          <w:tcPr>
            <w:tcW w:w="1277" w:type="dxa"/>
          </w:tcPr>
          <w:p w14:paraId="6BCD6EEC" w14:textId="77777777" w:rsidR="007A25CD" w:rsidRDefault="007A25CD" w:rsidP="00162364"/>
        </w:tc>
        <w:tc>
          <w:tcPr>
            <w:tcW w:w="1154" w:type="dxa"/>
          </w:tcPr>
          <w:p w14:paraId="5ACFB877" w14:textId="77777777" w:rsidR="007A25CD" w:rsidRDefault="007A25CD" w:rsidP="00162364"/>
        </w:tc>
        <w:tc>
          <w:tcPr>
            <w:tcW w:w="221" w:type="dxa"/>
          </w:tcPr>
          <w:p w14:paraId="17DCEEC2" w14:textId="77777777" w:rsidR="007A25CD" w:rsidRDefault="007A25CD" w:rsidP="00162364"/>
        </w:tc>
        <w:tc>
          <w:tcPr>
            <w:tcW w:w="4572" w:type="dxa"/>
          </w:tcPr>
          <w:p w14:paraId="1ADC4E48" w14:textId="498F41D2" w:rsidR="007A25CD" w:rsidRDefault="007A25CD" w:rsidP="00162364"/>
        </w:tc>
        <w:tc>
          <w:tcPr>
            <w:tcW w:w="611" w:type="dxa"/>
          </w:tcPr>
          <w:p w14:paraId="00CC8373" w14:textId="77777777" w:rsidR="007A25CD" w:rsidRDefault="007A25CD" w:rsidP="00162364"/>
        </w:tc>
      </w:tr>
      <w:tr w:rsidR="007A25CD" w14:paraId="47DFD70B" w14:textId="10A73D38" w:rsidTr="007A25CD">
        <w:tc>
          <w:tcPr>
            <w:tcW w:w="1515" w:type="dxa"/>
          </w:tcPr>
          <w:p w14:paraId="2C3054C4" w14:textId="77777777" w:rsidR="007A25CD" w:rsidRDefault="007A25CD" w:rsidP="00162364"/>
        </w:tc>
        <w:tc>
          <w:tcPr>
            <w:tcW w:w="1277" w:type="dxa"/>
          </w:tcPr>
          <w:p w14:paraId="027D271E" w14:textId="77777777" w:rsidR="007A25CD" w:rsidRDefault="007A25CD" w:rsidP="00162364"/>
        </w:tc>
        <w:tc>
          <w:tcPr>
            <w:tcW w:w="1154" w:type="dxa"/>
          </w:tcPr>
          <w:p w14:paraId="18F31460" w14:textId="77777777" w:rsidR="007A25CD" w:rsidRDefault="007A25CD" w:rsidP="00162364"/>
        </w:tc>
        <w:tc>
          <w:tcPr>
            <w:tcW w:w="221" w:type="dxa"/>
          </w:tcPr>
          <w:p w14:paraId="6B659ACB" w14:textId="77777777" w:rsidR="007A25CD" w:rsidRDefault="007A25CD" w:rsidP="00162364"/>
        </w:tc>
        <w:tc>
          <w:tcPr>
            <w:tcW w:w="4572" w:type="dxa"/>
          </w:tcPr>
          <w:p w14:paraId="5530B014" w14:textId="7C051E3A" w:rsidR="007A25CD" w:rsidRDefault="007A25CD" w:rsidP="00162364"/>
        </w:tc>
        <w:tc>
          <w:tcPr>
            <w:tcW w:w="611" w:type="dxa"/>
          </w:tcPr>
          <w:p w14:paraId="7AE449CF" w14:textId="77777777" w:rsidR="007A25CD" w:rsidRDefault="007A25CD" w:rsidP="00162364"/>
        </w:tc>
      </w:tr>
      <w:tr w:rsidR="007A25CD" w14:paraId="5325FD7D" w14:textId="60222808" w:rsidTr="007A25CD">
        <w:tc>
          <w:tcPr>
            <w:tcW w:w="1515" w:type="dxa"/>
          </w:tcPr>
          <w:p w14:paraId="7D5C86EA" w14:textId="77777777" w:rsidR="007A25CD" w:rsidRDefault="007A25CD" w:rsidP="00162364"/>
        </w:tc>
        <w:tc>
          <w:tcPr>
            <w:tcW w:w="1277" w:type="dxa"/>
          </w:tcPr>
          <w:p w14:paraId="0524DD8B" w14:textId="77777777" w:rsidR="007A25CD" w:rsidRDefault="007A25CD" w:rsidP="00162364"/>
        </w:tc>
        <w:tc>
          <w:tcPr>
            <w:tcW w:w="1154" w:type="dxa"/>
          </w:tcPr>
          <w:p w14:paraId="1BEFAAF5" w14:textId="77777777" w:rsidR="007A25CD" w:rsidRDefault="007A25CD" w:rsidP="00162364"/>
        </w:tc>
        <w:tc>
          <w:tcPr>
            <w:tcW w:w="221" w:type="dxa"/>
          </w:tcPr>
          <w:p w14:paraId="6FAFED14" w14:textId="77777777" w:rsidR="007A25CD" w:rsidRDefault="007A25CD" w:rsidP="00162364"/>
        </w:tc>
        <w:tc>
          <w:tcPr>
            <w:tcW w:w="4572" w:type="dxa"/>
          </w:tcPr>
          <w:p w14:paraId="61B0B53E" w14:textId="5F0F795E" w:rsidR="007A25CD" w:rsidRDefault="007A25CD" w:rsidP="00162364"/>
        </w:tc>
        <w:tc>
          <w:tcPr>
            <w:tcW w:w="611" w:type="dxa"/>
          </w:tcPr>
          <w:p w14:paraId="1966AC6D" w14:textId="77777777" w:rsidR="007A25CD" w:rsidRDefault="007A25CD" w:rsidP="00162364"/>
        </w:tc>
      </w:tr>
      <w:tr w:rsidR="007A25CD" w14:paraId="1EBF3FC9" w14:textId="19035B68" w:rsidTr="007A25CD">
        <w:tc>
          <w:tcPr>
            <w:tcW w:w="1515" w:type="dxa"/>
          </w:tcPr>
          <w:p w14:paraId="737A88D0" w14:textId="77777777" w:rsidR="007A25CD" w:rsidRDefault="007A25CD" w:rsidP="00162364"/>
        </w:tc>
        <w:tc>
          <w:tcPr>
            <w:tcW w:w="1277" w:type="dxa"/>
          </w:tcPr>
          <w:p w14:paraId="33172498" w14:textId="77777777" w:rsidR="007A25CD" w:rsidRDefault="007A25CD" w:rsidP="00162364"/>
        </w:tc>
        <w:tc>
          <w:tcPr>
            <w:tcW w:w="1154" w:type="dxa"/>
          </w:tcPr>
          <w:p w14:paraId="4DF89741" w14:textId="77777777" w:rsidR="007A25CD" w:rsidRDefault="007A25CD" w:rsidP="00162364"/>
        </w:tc>
        <w:tc>
          <w:tcPr>
            <w:tcW w:w="221" w:type="dxa"/>
          </w:tcPr>
          <w:p w14:paraId="360AE81A" w14:textId="77777777" w:rsidR="007A25CD" w:rsidRDefault="007A25CD" w:rsidP="00162364"/>
        </w:tc>
        <w:tc>
          <w:tcPr>
            <w:tcW w:w="4572" w:type="dxa"/>
          </w:tcPr>
          <w:p w14:paraId="3EDF7CB0" w14:textId="6C3B3270" w:rsidR="007A25CD" w:rsidRDefault="007A25CD" w:rsidP="00162364"/>
        </w:tc>
        <w:tc>
          <w:tcPr>
            <w:tcW w:w="611" w:type="dxa"/>
          </w:tcPr>
          <w:p w14:paraId="30D6703C" w14:textId="77777777" w:rsidR="007A25CD" w:rsidRDefault="007A25CD" w:rsidP="00162364"/>
        </w:tc>
      </w:tr>
      <w:tr w:rsidR="007A25CD" w14:paraId="1FFAC9B9" w14:textId="351AC5C7" w:rsidTr="007A25CD">
        <w:tc>
          <w:tcPr>
            <w:tcW w:w="1515" w:type="dxa"/>
          </w:tcPr>
          <w:p w14:paraId="2D990044" w14:textId="77777777" w:rsidR="007A25CD" w:rsidRDefault="007A25CD" w:rsidP="00162364"/>
        </w:tc>
        <w:tc>
          <w:tcPr>
            <w:tcW w:w="1277" w:type="dxa"/>
          </w:tcPr>
          <w:p w14:paraId="39CCF65E" w14:textId="77777777" w:rsidR="007A25CD" w:rsidRDefault="007A25CD" w:rsidP="00162364"/>
        </w:tc>
        <w:tc>
          <w:tcPr>
            <w:tcW w:w="1154" w:type="dxa"/>
          </w:tcPr>
          <w:p w14:paraId="1E44FB93" w14:textId="77777777" w:rsidR="007A25CD" w:rsidRDefault="007A25CD" w:rsidP="00162364"/>
        </w:tc>
        <w:tc>
          <w:tcPr>
            <w:tcW w:w="221" w:type="dxa"/>
          </w:tcPr>
          <w:p w14:paraId="1E5181FC" w14:textId="77777777" w:rsidR="007A25CD" w:rsidRDefault="007A25CD" w:rsidP="00162364"/>
        </w:tc>
        <w:tc>
          <w:tcPr>
            <w:tcW w:w="4572" w:type="dxa"/>
          </w:tcPr>
          <w:p w14:paraId="61AC09A4" w14:textId="676B66BE" w:rsidR="007A25CD" w:rsidRDefault="007A25CD" w:rsidP="00162364"/>
        </w:tc>
        <w:tc>
          <w:tcPr>
            <w:tcW w:w="611" w:type="dxa"/>
          </w:tcPr>
          <w:p w14:paraId="5F2220A8" w14:textId="77777777" w:rsidR="007A25CD" w:rsidRDefault="007A25CD" w:rsidP="00162364"/>
        </w:tc>
      </w:tr>
      <w:tr w:rsidR="007A25CD" w14:paraId="655CBEC0" w14:textId="0759F037" w:rsidTr="007A25CD">
        <w:tc>
          <w:tcPr>
            <w:tcW w:w="1515" w:type="dxa"/>
          </w:tcPr>
          <w:p w14:paraId="73197C52" w14:textId="77777777" w:rsidR="007A25CD" w:rsidRDefault="007A25CD" w:rsidP="00162364"/>
        </w:tc>
        <w:tc>
          <w:tcPr>
            <w:tcW w:w="1277" w:type="dxa"/>
          </w:tcPr>
          <w:p w14:paraId="775B513E" w14:textId="77777777" w:rsidR="007A25CD" w:rsidRDefault="007A25CD" w:rsidP="00162364"/>
        </w:tc>
        <w:tc>
          <w:tcPr>
            <w:tcW w:w="1154" w:type="dxa"/>
          </w:tcPr>
          <w:p w14:paraId="65E39C50" w14:textId="77777777" w:rsidR="007A25CD" w:rsidRDefault="007A25CD" w:rsidP="00162364"/>
        </w:tc>
        <w:tc>
          <w:tcPr>
            <w:tcW w:w="221" w:type="dxa"/>
          </w:tcPr>
          <w:p w14:paraId="52912738" w14:textId="77777777" w:rsidR="007A25CD" w:rsidRDefault="007A25CD" w:rsidP="00162364"/>
        </w:tc>
        <w:tc>
          <w:tcPr>
            <w:tcW w:w="4572" w:type="dxa"/>
          </w:tcPr>
          <w:p w14:paraId="33C345E2" w14:textId="655A418A" w:rsidR="007A25CD" w:rsidRDefault="007A25CD" w:rsidP="00162364"/>
        </w:tc>
        <w:tc>
          <w:tcPr>
            <w:tcW w:w="611" w:type="dxa"/>
          </w:tcPr>
          <w:p w14:paraId="2061353D" w14:textId="77777777" w:rsidR="007A25CD" w:rsidRDefault="007A25CD" w:rsidP="00162364"/>
        </w:tc>
      </w:tr>
      <w:tr w:rsidR="007A25CD" w14:paraId="7811D4BA" w14:textId="5058006A" w:rsidTr="007A25CD">
        <w:tc>
          <w:tcPr>
            <w:tcW w:w="1515" w:type="dxa"/>
          </w:tcPr>
          <w:p w14:paraId="320EA8D0" w14:textId="77777777" w:rsidR="007A25CD" w:rsidRDefault="007A25CD" w:rsidP="00162364"/>
        </w:tc>
        <w:tc>
          <w:tcPr>
            <w:tcW w:w="1277" w:type="dxa"/>
          </w:tcPr>
          <w:p w14:paraId="48C5BB21" w14:textId="77777777" w:rsidR="007A25CD" w:rsidRDefault="007A25CD" w:rsidP="00162364"/>
        </w:tc>
        <w:tc>
          <w:tcPr>
            <w:tcW w:w="1154" w:type="dxa"/>
          </w:tcPr>
          <w:p w14:paraId="653EC34A" w14:textId="77777777" w:rsidR="007A25CD" w:rsidRDefault="007A25CD" w:rsidP="00162364"/>
        </w:tc>
        <w:tc>
          <w:tcPr>
            <w:tcW w:w="221" w:type="dxa"/>
          </w:tcPr>
          <w:p w14:paraId="292CEA0E" w14:textId="77777777" w:rsidR="007A25CD" w:rsidRDefault="007A25CD" w:rsidP="00162364"/>
        </w:tc>
        <w:tc>
          <w:tcPr>
            <w:tcW w:w="4572" w:type="dxa"/>
          </w:tcPr>
          <w:p w14:paraId="776EFDF7" w14:textId="6011E28B" w:rsidR="007A25CD" w:rsidRDefault="007A25CD" w:rsidP="00162364"/>
        </w:tc>
        <w:tc>
          <w:tcPr>
            <w:tcW w:w="611" w:type="dxa"/>
          </w:tcPr>
          <w:p w14:paraId="5B14CBA2" w14:textId="77777777" w:rsidR="007A25CD" w:rsidRDefault="007A25CD" w:rsidP="00162364"/>
        </w:tc>
      </w:tr>
      <w:tr w:rsidR="007A25CD" w14:paraId="035842A6" w14:textId="5AE55AB4" w:rsidTr="007A25CD">
        <w:tc>
          <w:tcPr>
            <w:tcW w:w="1515" w:type="dxa"/>
          </w:tcPr>
          <w:p w14:paraId="5F1AE844" w14:textId="77777777" w:rsidR="007A25CD" w:rsidRDefault="007A25CD" w:rsidP="00162364"/>
        </w:tc>
        <w:tc>
          <w:tcPr>
            <w:tcW w:w="1277" w:type="dxa"/>
          </w:tcPr>
          <w:p w14:paraId="0E366222" w14:textId="77777777" w:rsidR="007A25CD" w:rsidRDefault="007A25CD" w:rsidP="00162364"/>
        </w:tc>
        <w:tc>
          <w:tcPr>
            <w:tcW w:w="1154" w:type="dxa"/>
          </w:tcPr>
          <w:p w14:paraId="0A5A62FE" w14:textId="77777777" w:rsidR="007A25CD" w:rsidRDefault="007A25CD" w:rsidP="00162364"/>
        </w:tc>
        <w:tc>
          <w:tcPr>
            <w:tcW w:w="221" w:type="dxa"/>
          </w:tcPr>
          <w:p w14:paraId="2EF90AF5" w14:textId="77777777" w:rsidR="007A25CD" w:rsidRDefault="007A25CD" w:rsidP="00162364"/>
        </w:tc>
        <w:tc>
          <w:tcPr>
            <w:tcW w:w="4572" w:type="dxa"/>
          </w:tcPr>
          <w:p w14:paraId="264D6CEB" w14:textId="13975087" w:rsidR="007A25CD" w:rsidRDefault="007A25CD" w:rsidP="00162364"/>
        </w:tc>
        <w:tc>
          <w:tcPr>
            <w:tcW w:w="611" w:type="dxa"/>
          </w:tcPr>
          <w:p w14:paraId="2BD581A2" w14:textId="77777777" w:rsidR="007A25CD" w:rsidRDefault="007A25CD" w:rsidP="00162364"/>
        </w:tc>
      </w:tr>
    </w:tbl>
    <w:p w14:paraId="7644CCFD" w14:textId="77F00D25" w:rsidR="00522E48" w:rsidRPr="00522E48" w:rsidRDefault="00665D16" w:rsidP="00522E48">
      <w:commentRangeStart w:id="4"/>
      <w:r>
        <w:t>(</w:t>
      </w:r>
      <w:r w:rsidR="00720864">
        <w:t>see</w:t>
      </w:r>
      <w:r>
        <w:t xml:space="preserve"> data_inventory.csv</w:t>
      </w:r>
      <w:r w:rsidR="00720864">
        <w:t xml:space="preserve"> for </w:t>
      </w:r>
      <w:r w:rsidR="007E1E11">
        <w:t>details on all</w:t>
      </w:r>
      <w:r w:rsidR="00720864">
        <w:t xml:space="preserve"> compiled data</w:t>
      </w:r>
      <w:r w:rsidR="007E1E11">
        <w:t xml:space="preserve">, including those not </w:t>
      </w:r>
      <w:r w:rsidR="0034367F">
        <w:t>described</w:t>
      </w:r>
      <w:r w:rsidR="007E1E11">
        <w:t xml:space="preserve"> in th</w:t>
      </w:r>
      <w:r w:rsidR="0034367F">
        <w:t>is report</w:t>
      </w:r>
      <w:r>
        <w:t>)</w:t>
      </w:r>
      <w:commentRangeEnd w:id="4"/>
      <w:r w:rsidR="0051144D" w:rsidRPr="00522E48">
        <w:rPr>
          <w:rStyle w:val="CommentReference"/>
          <w:sz w:val="24"/>
          <w:szCs w:val="24"/>
        </w:rPr>
        <w:commentReference w:id="4"/>
      </w:r>
    </w:p>
    <w:p w14:paraId="3BDFC7D9" w14:textId="52CE40DF" w:rsidR="00166591" w:rsidRDefault="00166591" w:rsidP="008A6C04">
      <w:pPr>
        <w:pStyle w:val="Heading2"/>
      </w:pPr>
      <w:commentRangeStart w:id="5"/>
      <w:r>
        <w:t>Preprocessing</w:t>
      </w:r>
      <w:commentRangeEnd w:id="5"/>
      <w:r w:rsidR="00F648A5">
        <w:rPr>
          <w:rStyle w:val="CommentReference"/>
          <w:sz w:val="32"/>
          <w:szCs w:val="32"/>
        </w:rPr>
        <w:commentReference w:id="5"/>
      </w:r>
    </w:p>
    <w:p w14:paraId="7D228581" w14:textId="53D8FBB6" w:rsidR="00F972C4" w:rsidRDefault="00F972C4" w:rsidP="00166591">
      <w:pPr>
        <w:pStyle w:val="ListParagraph"/>
        <w:numPr>
          <w:ilvl w:val="0"/>
          <w:numId w:val="5"/>
        </w:numPr>
      </w:pPr>
      <w:r>
        <w:t>Initial data cleaning</w:t>
      </w:r>
    </w:p>
    <w:p w14:paraId="29BDBE92" w14:textId="77777777" w:rsidR="00F972C4" w:rsidRDefault="00166591" w:rsidP="00F972C4">
      <w:pPr>
        <w:pStyle w:val="ListParagraph"/>
        <w:numPr>
          <w:ilvl w:val="1"/>
          <w:numId w:val="5"/>
        </w:numPr>
      </w:pPr>
      <w:r>
        <w:t>Everything clipped to NC</w:t>
      </w:r>
    </w:p>
    <w:p w14:paraId="3CD8E341" w14:textId="4E055505" w:rsidR="00F972C4" w:rsidRDefault="00F972C4" w:rsidP="00F972C4">
      <w:pPr>
        <w:pStyle w:val="ListParagraph"/>
        <w:numPr>
          <w:ilvl w:val="0"/>
          <w:numId w:val="5"/>
        </w:numPr>
      </w:pPr>
      <w:r>
        <w:t>Peat mask</w:t>
      </w:r>
    </w:p>
    <w:p w14:paraId="5505DAA3" w14:textId="77777777" w:rsidR="00F972C4" w:rsidRDefault="00F972C4" w:rsidP="00F972C4">
      <w:pPr>
        <w:pStyle w:val="ListParagraph"/>
        <w:numPr>
          <w:ilvl w:val="1"/>
          <w:numId w:val="5"/>
        </w:numPr>
      </w:pPr>
      <w:r>
        <w:t>Grabbed the peatland mask based on &gt;80% histosol criteria from x dataset (check where I got this).</w:t>
      </w:r>
    </w:p>
    <w:p w14:paraId="3CE5C00F" w14:textId="6235FB59" w:rsidR="00F972C4" w:rsidRDefault="00F972C4" w:rsidP="00F972C4">
      <w:pPr>
        <w:pStyle w:val="ListParagraph"/>
        <w:numPr>
          <w:ilvl w:val="2"/>
          <w:numId w:val="5"/>
        </w:numPr>
      </w:pPr>
      <w:r w:rsidRPr="00887A13">
        <w:t>Make a binary peat extent mask of where histosol % &gt; 0, merging adjacent peat pixels into contiguous blobs</w:t>
      </w:r>
    </w:p>
    <w:p w14:paraId="3A77971F" w14:textId="569DCDA5" w:rsidR="00F972C4" w:rsidRDefault="00F972C4" w:rsidP="00F972C4">
      <w:pPr>
        <w:pStyle w:val="ListParagraph"/>
        <w:numPr>
          <w:ilvl w:val="0"/>
          <w:numId w:val="5"/>
        </w:numPr>
      </w:pPr>
      <w:r>
        <w:t>Getting fire and covariate data onto a common grid and crs</w:t>
      </w:r>
    </w:p>
    <w:p w14:paraId="65272FA1" w14:textId="223AF8C7" w:rsidR="00166591" w:rsidRDefault="00166591" w:rsidP="00F972C4">
      <w:pPr>
        <w:pStyle w:val="ListParagraph"/>
        <w:numPr>
          <w:ilvl w:val="1"/>
          <w:numId w:val="5"/>
        </w:numPr>
      </w:pPr>
      <w:r>
        <w:t xml:space="preserve">reprojected to EPSG:5070 on a common </w:t>
      </w:r>
      <w:r w:rsidR="00F972C4">
        <w:t>(500m for modis; 300m for fireccis311)</w:t>
      </w:r>
      <w:r>
        <w:t xml:space="preserve"> grid</w:t>
      </w:r>
      <w:r w:rsidR="005E6200">
        <w:t>.</w:t>
      </w:r>
    </w:p>
    <w:p w14:paraId="38A41A9A" w14:textId="250EC200" w:rsidR="00EF1924" w:rsidRPr="00887A13" w:rsidRDefault="00EF1924" w:rsidP="00887A13">
      <w:pPr>
        <w:pStyle w:val="ListParagraph"/>
        <w:numPr>
          <w:ilvl w:val="1"/>
          <w:numId w:val="5"/>
        </w:numPr>
      </w:pPr>
      <w:r>
        <w:t xml:space="preserve">Then clip to </w:t>
      </w:r>
      <w:r w:rsidR="00F972C4">
        <w:t>the</w:t>
      </w:r>
      <w:r>
        <w:t xml:space="preserve"> peat extent mask</w:t>
      </w:r>
      <w:r w:rsidR="00F972C4">
        <w:t xml:space="preserve"> for analysis.</w:t>
      </w:r>
    </w:p>
    <w:p>
      <w:pPr>
        <w:pStyle w:val="Heading2"/>
      </w:pPr>
      <w:r>
        <w:t xml:space="preserve">Comparison Against Reference Fires</w:t>
      </w:r>
    </w:p>
    <w:p>
      <w:r>
        <w:t xml:space="preserve">Fire products were scored against independent reference perimeters: NIFC IFPH and GeoMAC for large fires, restricted to incidents of at least 100 acres (incidents with no reported acreage were kept), and the TNC Coastal Plain fire history for small preserve and prescribed burns. Each reference event (indexed i = 1 … n) was rasterized onto the same 500 m, EPSG:5070 grid as the fire products, with any perimeter overlap lighting a cell, then compared against the product’s burned mask for that event’s own year within a 5 km buffered window around the perimeter. All counts below are grid cells, not acres.</w:t>
      </w:r>
    </w:p>
    <w:p>
      <w:pPr>
        <w:pStyle w:val="ListParagraph"/>
        <w:numPr>
          <w:ilvl w:val="0"/>
          <w:numId w:val="7"/>
        </w:numPr>
      </w:pPr>
      <w:r>
        <w:t xml:space="preserve">tp</w:t>
      </w:r>
      <w:r>
        <w:rPr>
          <w:i/>
          <w:vertAlign w:val="subscript"/>
        </w:rPr>
        <w:t xml:space="preserve">i</w:t>
      </w:r>
      <w:r>
        <w:t xml:space="preserve"> = cells inside the reference perimeter that the product flagged as burned.</w:t>
      </w:r>
    </w:p>
    <w:p>
      <w:pPr>
        <w:pStyle w:val="ListParagraph"/>
        <w:numPr>
          <w:ilvl w:val="0"/>
          <w:numId w:val="7"/>
        </w:numPr>
      </w:pPr>
      <w:r>
        <w:t xml:space="preserve">fn</w:t>
      </w:r>
      <w:r>
        <w:rPr>
          <w:i/>
          <w:vertAlign w:val="subscript"/>
        </w:rPr>
        <w:t xml:space="preserve">i</w:t>
      </w:r>
      <w:r>
        <w:t xml:space="preserve"> = cells inside the reference perimeter that the product did not flag.</w:t>
      </w:r>
    </w:p>
    <w:p>
      <w:pPr>
        <w:pStyle w:val="ListParagraph"/>
        <w:numPr>
          <w:ilvl w:val="0"/>
          <w:numId w:val="7"/>
        </w:numPr>
      </w:pPr>
      <w:r>
        <w:t xml:space="preserve">fp</w:t>
      </w:r>
      <w:r>
        <w:rPr>
          <w:i/>
          <w:vertAlign w:val="subscript"/>
        </w:rPr>
        <w:t xml:space="preserve">i</w:t>
      </w:r>
      <w:r>
        <w:t xml:space="preserve"> = cells the product flagged as burned inside the 5 km window but outside the reference perimeter.</w:t>
      </w:r>
    </w:p>
    <w:p>
      <w:r>
        <w:t xml:space="preserve">Two scores were computed for each event:</w:t>
      </w:r>
    </w:p>
    <w:p>
      <m:oMathPara>
        <m:oMath>
          <m:sSub>
            <m:sSubPr>
              <m:ctrlPr>
                <w:rPr>
                  <w:rFonts w:ascii="Cambria Math" w:hAnsi="Cambria Math"/>
                  <w:i/>
                </w:rPr>
              </m:ctrlPr>
            </m:sSubPr>
            <m:e>
              <m:r>
                <m:rPr>
                  <m:sty m:val="p"/>
                </m:rPr>
                <w:rPr>
                  <w:rFonts w:ascii="Cambria Math" w:hAnsi="Cambria Math"/>
                </w:rPr>
                <m:t xml:space="preserve">Recall</m:t>
              </m:r>
            </m:e>
            <m:sub>
              <m:r>
                <w:rPr>
                  <w:rFonts w:ascii="Cambria Math" w:hAnsi="Cambria Math"/>
                </w:rPr>
                <m:t xml:space="preserve">i</m:t>
              </m:r>
            </m:sub>
          </m:sSub>
          <m:r>
            <m:rPr>
              <m:sty m:val="p"/>
            </m:rPr>
            <w:rPr>
              <w:rFonts w:ascii="Cambria Math" w:hAnsi="Cambria Math"/>
            </w:rPr>
            <m:t xml:space="preserve">=</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num>
            <m:den>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fn</m:t>
                  </m:r>
                </m:e>
                <m:sub>
                  <m:r>
                    <w:rPr>
                      <w:rFonts w:ascii="Cambria Math" w:hAnsi="Cambria Math"/>
                    </w:rPr>
                    <m:t xml:space="preserve">i</m:t>
                  </m:r>
                </m:sub>
              </m:sSub>
            </m:den>
          </m:f>
        </m:oMath>
      </m:oMathPara>
    </w:p>
    <w:p>
      <m:oMathPara>
        <m:oMath>
          <m:sSub>
            <m:sSubPr>
              <m:ctrlPr>
                <w:rPr>
                  <w:rFonts w:ascii="Cambria Math" w:hAnsi="Cambria Math"/>
                  <w:i/>
                </w:rPr>
              </m:ctrlPr>
            </m:sSubPr>
            <m:e>
              <m:r>
                <m:rPr>
                  <m:sty m:val="p"/>
                </m:rPr>
                <w:rPr>
                  <w:rFonts w:ascii="Cambria Math" w:hAnsi="Cambria Math"/>
                </w:rPr>
                <m:t xml:space="preserve">Precision</m:t>
              </m:r>
            </m:e>
            <m:sub>
              <m:r>
                <w:rPr>
                  <w:rFonts w:ascii="Cambria Math" w:hAnsi="Cambria Math"/>
                </w:rPr>
                <m:t xml:space="preserve">i</m:t>
              </m:r>
            </m:sub>
          </m:sSub>
          <m:r>
            <m:rPr>
              <m:sty m:val="p"/>
            </m:rPr>
            <w:rPr>
              <w:rFonts w:ascii="Cambria Math" w:hAnsi="Cambria Math"/>
            </w:rPr>
            <m:t xml:space="preserve">=</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num>
            <m:den>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fp</m:t>
                  </m:r>
                </m:e>
                <m:sub>
                  <m:r>
                    <w:rPr>
                      <w:rFonts w:ascii="Cambria Math" w:hAnsi="Cambria Math"/>
                    </w:rPr>
                    <m:t xml:space="preserve">i</m:t>
                  </m:r>
                </m:sub>
              </m:sSub>
            </m:den>
          </m:f>
        </m:oMath>
      </m:oMathPara>
    </w:p>
    <w:p>
      <w:r>
        <w:t xml:space="preserve">Recall is the headline metric, since a fire is known to have occurred inside the perimeter and omission is therefore unambiguous. Precision is reported as conditional, for two reasons: the reference datasets are not a complete census, so a product burn outside a perimeter may be a real fire the reference never recorded rather than a false alarm; and a perimeter is an outer boundary containing unburned islands, so it overstates the true burn, which depresses precision and inflates omission.</w:t>
      </w:r>
    </w:p>
    <w:p>
      <w:r>
        <w:t xml:space="preserve">The per-event scores were then rolled up per product across the n events that product was scored on.</w:t>
      </w:r>
    </w:p>
    <w:p>
      <m:oMathPara>
        <m:oMath>
          <m:sSub>
            <m:sSubPr>
              <m:ctrlPr>
                <w:rPr>
                  <w:rFonts w:ascii="Cambria Math" w:hAnsi="Cambria Math"/>
                  <w:i/>
                </w:rPr>
              </m:ctrlPr>
            </m:sSubPr>
            <m:e>
              <m:r>
                <m:rPr>
                  <m:sty m:val="p"/>
                </m:rPr>
                <w:rPr>
                  <w:rFonts w:ascii="Cambria Math" w:hAnsi="Cambria Math"/>
                </w:rPr>
                <m:t xml:space="preserve">Recall</m:t>
              </m:r>
            </m:e>
            <m:sub>
              <m:r>
                <m:rPr>
                  <m:sty m:val="p"/>
                </m:rPr>
                <w:rPr>
                  <w:rFonts w:ascii="Cambria Math" w:hAnsi="Cambria Math"/>
                </w:rPr>
                <m:t xml:space="preserve">pooled</m:t>
              </m:r>
            </m:sub>
          </m:sSub>
          <m:r>
            <m:rPr>
              <m:sty m:val="p"/>
            </m:rPr>
            <w:rPr>
              <w:rFonts w:ascii="Cambria Math" w:hAnsi="Cambria Math"/>
            </w:rPr>
            <m:t xml:space="preserve">=</m:t>
          </m:r>
          <m:f>
            <m:fPr>
              <m:ctrlPr>
                <w:rPr>
                  <w:rFonts w:ascii="Cambria Math" w:hAnsi="Cambria Math"/>
                  <w:i/>
                </w:rPr>
              </m:ctrlPr>
            </m:fPr>
            <m:num>
              <m:nary>
                <m:naryPr>
                  <m:chr m:val="∑"/>
                  <m:limLoc m:val="undOvr"/>
                  <m:subHide m:val="0"/>
                  <m:supHide m:val="0"/>
                  <m:ctrlPr>
                    <w:rPr>
                      <w:rFonts w:ascii="Cambria Math" w:hAnsi="Cambria Math"/>
                      <w:i/>
                    </w:rPr>
                  </m:ctrlPr>
                </m:naryPr>
                <m:sub>
                  <m:r>
                    <m:rPr>
                      <m:sty m:val="p"/>
                    </m:rP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sup>
                <m:e>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e>
              </m:nary>
            </m:num>
            <m:den>
              <m:nary>
                <m:naryPr>
                  <m:chr m:val="∑"/>
                  <m:limLoc m:val="undOvr"/>
                  <m:subHide m:val="0"/>
                  <m:supHide m:val="0"/>
                  <m:ctrlPr>
                    <w:rPr>
                      <w:rFonts w:ascii="Cambria Math" w:hAnsi="Cambria Math"/>
                      <w:i/>
                    </w:rPr>
                  </m:ctrlPr>
                </m:naryPr>
                <m:sub>
                  <m:r>
                    <m:rPr>
                      <m:sty m:val="p"/>
                    </m:rP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fn</m:t>
                          </m:r>
                        </m:e>
                        <m:sub>
                          <m:r>
                            <w:rPr>
                              <w:rFonts w:ascii="Cambria Math" w:hAnsi="Cambria Math"/>
                            </w:rPr>
                            <m:t xml:space="preserve">i</m:t>
                          </m:r>
                        </m:sub>
                      </m:sSub>
                    </m:e>
                  </m:d>
                </m:e>
              </m:nary>
            </m:den>
          </m:f>
        </m:oMath>
      </m:oMathPara>
    </w:p>
    <w:p>
      <w:r>
        <w:t xml:space="preserve">Pooled recall is cell-weighted and therefore dominated by big fires: it answers what fraction of the reference burned area the product saw.</w:t>
      </w:r>
    </w:p>
    <w:p>
      <m:oMathPara>
        <m:oMath>
          <m:sSub>
            <m:sSubPr>
              <m:ctrlPr>
                <w:rPr>
                  <w:rFonts w:ascii="Cambria Math" w:hAnsi="Cambria Math"/>
                  <w:i/>
                </w:rPr>
              </m:ctrlPr>
            </m:sSubPr>
            <m:e>
              <m:r>
                <m:rPr>
                  <m:sty m:val="p"/>
                </m:rPr>
                <w:rPr>
                  <w:rFonts w:ascii="Cambria Math" w:hAnsi="Cambria Math"/>
                </w:rPr>
                <m:t xml:space="preserve">Recall</m:t>
              </m:r>
            </m:e>
            <m:sub>
              <m:r>
                <m:rPr>
                  <m:sty m:val="p"/>
                </m:rPr>
                <w:rPr>
                  <w:rFonts w:ascii="Cambria Math" w:hAnsi="Cambria Math"/>
                </w:rPr>
                <m:t xml:space="preserve">mean event</m:t>
              </m:r>
            </m:sub>
          </m:sSub>
          <m:r>
            <m:rPr>
              <m:sty m:val="p"/>
            </m:rPr>
            <w:rPr>
              <w:rFonts w:ascii="Cambria Math" w:hAnsi="Cambria Math"/>
            </w:rPr>
            <m:t xml:space="preserve">=</m:t>
          </m:r>
          <m:f>
            <m:fPr>
              <m:ctrlPr>
                <w:rPr>
                  <w:rFonts w:ascii="Cambria Math" w:hAnsi="Cambria Math"/>
                  <w:i/>
                </w:rPr>
              </m:ctrlPr>
            </m:fPr>
            <m:num>
              <m:r>
                <m:rPr>
                  <m:sty m:val="p"/>
                </m:rPr>
                <w:rPr>
                  <w:rFonts w:ascii="Cambria Math" w:hAnsi="Cambria Math"/>
                </w:rPr>
                <m:t xml:space="preserve">1</m:t>
              </m:r>
            </m:num>
            <m:den>
              <m:r>
                <w:rPr>
                  <w:rFonts w:ascii="Cambria Math" w:hAnsi="Cambria Math"/>
                </w:rPr>
                <m:t xml:space="preserve">n</m:t>
              </m:r>
            </m:den>
          </m:f>
          <m:nary>
            <m:naryPr>
              <m:chr m:val="∑"/>
              <m:limLoc m:val="undOvr"/>
              <m:subHide m:val="0"/>
              <m:supHide m:val="0"/>
              <m:ctrlPr>
                <w:rPr>
                  <w:rFonts w:ascii="Cambria Math" w:hAnsi="Cambria Math"/>
                  <w:i/>
                </w:rPr>
              </m:ctrlPr>
            </m:naryPr>
            <m:sub>
              <m:r>
                <m:rPr>
                  <m:sty m:val="p"/>
                </m:rP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num>
                <m:den>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fn</m:t>
                      </m:r>
                    </m:e>
                    <m:sub>
                      <m:r>
                        <w:rPr>
                          <w:rFonts w:ascii="Cambria Math" w:hAnsi="Cambria Math"/>
                        </w:rPr>
                        <m:t xml:space="preserve">i</m:t>
                      </m:r>
                    </m:sub>
                  </m:sSub>
                </m:den>
              </m:f>
            </m:e>
          </m:nary>
        </m:oMath>
      </m:oMathPara>
    </w:p>
    <w:p>
      <w:r>
        <w:t xml:space="preserve">Mean event recall counts each fire once regardless of size, which is what surfaces small-fire omission.</w:t>
      </w:r>
    </w:p>
    <w:p>
      <m:oMathPara>
        <m:oMath>
          <m:r>
            <m:rPr>
              <m:sty m:val="p"/>
            </m:rPr>
            <w:rPr>
              <w:rFonts w:ascii="Cambria Math" w:hAnsi="Cambria Math"/>
            </w:rPr>
            <m:t xml:space="preserve">Detection rate</m:t>
          </m:r>
          <m:r>
            <m:rPr>
              <m:sty m:val="p"/>
            </m:rPr>
            <w:rPr>
              <w:rFonts w:ascii="Cambria Math" w:hAnsi="Cambria Math"/>
            </w:rPr>
            <m:t xml:space="preserve">=</m:t>
          </m:r>
          <m:f>
            <m:fPr>
              <m:ctrlPr>
                <w:rPr>
                  <w:rFonts w:ascii="Cambria Math" w:hAnsi="Cambria Math"/>
                  <w:i/>
                </w:rPr>
              </m:ctrlPr>
            </m:fPr>
            <m:num>
              <m:r>
                <m:rPr>
                  <m:sty m:val="p"/>
                </m:rPr>
                <w:rPr>
                  <w:rFonts w:ascii="Cambria Math" w:hAnsi="Cambria Math"/>
                </w:rPr>
                <m:t xml:space="preserve">1</m:t>
              </m:r>
            </m:num>
            <m:den>
              <m:r>
                <w:rPr>
                  <w:rFonts w:ascii="Cambria Math" w:hAnsi="Cambria Math"/>
                </w:rPr>
                <m:t xml:space="preserve">n</m:t>
              </m:r>
            </m:den>
          </m:f>
          <m:nary>
            <m:naryPr>
              <m:chr m:val="∑"/>
              <m:limLoc m:val="undOvr"/>
              <m:subHide m:val="0"/>
              <m:supHide m:val="0"/>
              <m:ctrlPr>
                <w:rPr>
                  <w:rFonts w:ascii="Cambria Math" w:hAnsi="Cambria Math"/>
                  <w:i/>
                </w:rPr>
              </m:ctrlPr>
            </m:naryPr>
            <m:sub>
              <m:r>
                <m:rPr>
                  <m:sty m:val="p"/>
                </m:rP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sup>
            <m:e>
              <m:r>
                <m:rPr>
                  <m:sty m:val="p"/>
                </m:rPr>
                <w:rPr>
                  <w:rFonts w:ascii="Cambria Math" w:hAnsi="Cambria Math"/>
                </w:rPr>
                <m:t xml:space="preserve">𝟙</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r>
                    <m:rPr>
                      <m:sty m:val="p"/>
                    </m:rPr>
                    <w:rPr>
                      <w:rFonts w:ascii="Cambria Math" w:hAnsi="Cambria Math"/>
                    </w:rPr>
                    <m:t xml:space="preserve">&gt;</m:t>
                  </m:r>
                  <m:r>
                    <m:rPr>
                      <m:sty m:val="p"/>
                    </m:rPr>
                    <w:rPr>
                      <w:rFonts w:ascii="Cambria Math" w:hAnsi="Cambria Math"/>
                    </w:rPr>
                    <m:t xml:space="preserve">0</m:t>
                  </m:r>
                </m:e>
              </m:d>
            </m:e>
          </m:nary>
        </m:oMath>
      </m:oMathPara>
    </w:p>
    <w:p>
      <w:r>
        <w:t xml:space="preserve">Detection rate is the fraction of events the product caught at all, i.e. had any detected pixel inside the perimeter. It is the only meaningful metric for VIIRS, which detects active fire fronts rather than burned area.</w:t>
      </w:r>
    </w:p>
    <w:p>
      <m:oMathPara>
        <m:oMath>
          <m:sSub>
            <m:sSubPr>
              <m:ctrlPr>
                <w:rPr>
                  <w:rFonts w:ascii="Cambria Math" w:hAnsi="Cambria Math"/>
                  <w:i/>
                </w:rPr>
              </m:ctrlPr>
            </m:sSubPr>
            <m:e>
              <m:r>
                <m:rPr>
                  <m:sty m:val="p"/>
                </m:rPr>
                <w:rPr>
                  <w:rFonts w:ascii="Cambria Math" w:hAnsi="Cambria Math"/>
                </w:rPr>
                <m:t xml:space="preserve">Precision</m:t>
              </m:r>
            </m:e>
            <m:sub>
              <m:r>
                <m:rPr>
                  <m:sty m:val="p"/>
                </m:rPr>
                <w:rPr>
                  <w:rFonts w:ascii="Cambria Math" w:hAnsi="Cambria Math"/>
                </w:rPr>
                <m:t xml:space="preserve">mean event</m:t>
              </m:r>
            </m:sub>
          </m:sSub>
          <m:r>
            <m:rPr>
              <m:sty m:val="p"/>
            </m:rPr>
            <w:rPr>
              <w:rFonts w:ascii="Cambria Math" w:hAnsi="Cambria Math"/>
            </w:rPr>
            <m:t xml:space="preserve">=</m:t>
          </m:r>
          <m:f>
            <m:fPr>
              <m:ctrlPr>
                <w:rPr>
                  <w:rFonts w:ascii="Cambria Math" w:hAnsi="Cambria Math"/>
                  <w:i/>
                </w:rPr>
              </m:ctrlPr>
            </m:fPr>
            <m:num>
              <m:r>
                <m:rPr>
                  <m:sty m:val="p"/>
                </m:rPr>
                <w:rPr>
                  <w:rFonts w:ascii="Cambria Math" w:hAnsi="Cambria Math"/>
                </w:rPr>
                <m:t xml:space="preserve">1</m:t>
              </m:r>
            </m:num>
            <m:den>
              <m:d>
                <m:dPr>
                  <m:begChr m:val="|"/>
                  <m:endChr m:val="|"/>
                  <m:ctrlPr>
                    <w:rPr>
                      <w:rFonts w:ascii="Cambria Math" w:hAnsi="Cambria Math"/>
                      <w:i/>
                    </w:rPr>
                  </m:ctrlPr>
                </m:dPr>
                <m:e>
                  <m:r>
                    <w:rPr>
                      <w:rFonts w:ascii="Cambria Math" w:hAnsi="Cambria Math"/>
                    </w:rPr>
                    <m:t xml:space="preserve">D</m:t>
                  </m:r>
                </m:e>
              </m:d>
            </m:den>
          </m:f>
          <m:nary>
            <m:naryPr>
              <m:chr m:val="∑"/>
              <m:limLoc m:val="undOvr"/>
              <m:subHide m:val="0"/>
              <m:supHide m:val="1"/>
              <m:ctrlPr>
                <w:rPr>
                  <w:rFonts w:ascii="Cambria Math" w:hAnsi="Cambria Math"/>
                  <w:i/>
                </w:rPr>
              </m:ctrlPr>
            </m:naryPr>
            <m:sub>
              <m:r>
                <m:rPr>
                  <m:sty m:val="p"/>
                </m:rPr>
                <w:rPr>
                  <w:rFonts w:ascii="Cambria Math" w:hAnsi="Cambria Math"/>
                </w:rPr>
                <m:t xml:space="preserve">i</m:t>
              </m:r>
              <m:r>
                <m:rPr>
                  <m:sty m:val="p"/>
                </m:rPr>
                <w:rPr>
                  <w:rFonts w:ascii="Cambria Math" w:hAnsi="Cambria Math"/>
                </w:rPr>
                <m:t xml:space="preserve">∈</m:t>
              </m:r>
              <m:r>
                <w:rPr>
                  <w:rFonts w:ascii="Cambria Math" w:hAnsi="Cambria Math"/>
                </w:rPr>
                <m:t xml:space="preserve">D</m:t>
              </m:r>
            </m:sub>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num>
                <m:den>
                  <m:sSub>
                    <m:sSubPr>
                      <m:ctrlPr>
                        <w:rPr>
                          <w:rFonts w:ascii="Cambria Math" w:hAnsi="Cambria Math"/>
                          <w:i/>
                        </w:rPr>
                      </m:ctrlPr>
                    </m:sSubPr>
                    <m:e>
                      <m:r>
                        <m:rPr>
                          <m:sty m:val="p"/>
                        </m:rPr>
                        <w:rPr>
                          <w:rFonts w:ascii="Cambria Math" w:hAnsi="Cambria Math"/>
                        </w:rPr>
                        <m:t xml:space="preserve">tp</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fp</m:t>
                      </m:r>
                    </m:e>
                    <m:sub>
                      <m:r>
                        <w:rPr>
                          <w:rFonts w:ascii="Cambria Math" w:hAnsi="Cambria Math"/>
                        </w:rPr>
                        <m:t xml:space="preserve">i</m:t>
                      </m:r>
                    </m:sub>
                  </m:sSub>
                </m:den>
              </m:f>
            </m:e>
          </m:nary>
        </m:oMath>
      </m:oMathPara>
    </w:p>
    <w:p>
      <w:r>
        <w:t xml:space="preserve">Mean event precision is averaged over D, the set of events where the product flagged at least one cell inside the window, since precision is undefined for the rest.</w:t>
      </w:r>
    </w:p>
    <w:p>
      <w:r>
        <w:t xml:space="preserve">Severity products were not scored against the references, because fire perimeters carry no severity information.</w:t>
      </w:r>
    </w:p>
    <w:p w14:paraId="3AD9D80B" w14:textId="4C19425B" w:rsidR="00FD334A" w:rsidRDefault="00A30BF4" w:rsidP="00DC1992">
      <w:pPr>
        <w:pStyle w:val="Heading2"/>
      </w:pPr>
      <w:r>
        <w:t>Logistic regression model</w:t>
      </w:r>
    </w:p>
    <w:p w14:paraId="03C57E40" w14:textId="1FEB578B" w:rsidR="00A30BF4" w:rsidRDefault="00A30BF4" w:rsidP="00DC1992">
      <w:pPr>
        <w:numPr>
          <w:ilvl w:val="0"/>
          <w:numId w:val="8"/>
        </w:numPr>
      </w:pPr>
      <w:r>
        <w:t>matching</w:t>
      </w:r>
    </w:p>
    <w:p w14:paraId="6543BFAC" w14:textId="00136991" w:rsidR="00DC1992" w:rsidRPr="00DC1992" w:rsidRDefault="00DC1992" w:rsidP="00A30BF4">
      <w:pPr>
        <w:numPr>
          <w:ilvl w:val="1"/>
          <w:numId w:val="8"/>
        </w:numPr>
      </w:pPr>
      <w:r w:rsidRPr="00DC1992">
        <w:t xml:space="preserve">Determine candidate pool of control pixels within &gt;80% histosol on a shared 300 m EPSG:5070 grid </w:t>
      </w:r>
    </w:p>
    <w:p w14:paraId="731D1348" w14:textId="77777777" w:rsidR="00DC1992" w:rsidRPr="00DC1992" w:rsidRDefault="00DC1992" w:rsidP="00A30BF4">
      <w:pPr>
        <w:numPr>
          <w:ilvl w:val="2"/>
          <w:numId w:val="8"/>
        </w:numPr>
      </w:pPr>
      <w:r w:rsidRPr="00DC1992">
        <w:t>These are &gt;80% histosol pixels that are not within 1000 m of a restored site pixel</w:t>
      </w:r>
    </w:p>
    <w:p w14:paraId="3D799D47" w14:textId="77777777" w:rsidR="00DC1992" w:rsidRPr="00DC1992" w:rsidRDefault="00DC1992" w:rsidP="00A30BF4">
      <w:pPr>
        <w:numPr>
          <w:ilvl w:val="2"/>
          <w:numId w:val="8"/>
        </w:numPr>
      </w:pPr>
      <w:r w:rsidRPr="00DC1992">
        <w:t>Continuous covariate layers (like elevation) are warped onto the shared grid using an area-weighted average (i.e., GLO30_DEM has 30m resolution, and a single 300 m grid pixel thus takes the average of the GLO30_DEM pixels within its extent)</w:t>
      </w:r>
    </w:p>
    <w:p w14:paraId="7D938AD3" w14:textId="77777777" w:rsidR="00DC1992" w:rsidRPr="00DC1992" w:rsidRDefault="00DC1992" w:rsidP="00A30BF4">
      <w:pPr>
        <w:numPr>
          <w:ilvl w:val="2"/>
          <w:numId w:val="8"/>
        </w:numPr>
      </w:pPr>
      <w:r w:rsidRPr="00DC1992">
        <w:t>Categorical covariate layers (like land cover) are warped onto the shared grid using the majority class of their pixels within a single shared grid pixel</w:t>
      </w:r>
    </w:p>
    <w:p w14:paraId="2041BF49" w14:textId="77777777" w:rsidR="00DC1992" w:rsidRPr="00DC1992" w:rsidRDefault="00DC1992" w:rsidP="00A30BF4">
      <w:pPr>
        <w:numPr>
          <w:ilvl w:val="1"/>
          <w:numId w:val="8"/>
        </w:numPr>
      </w:pPr>
      <w:r w:rsidRPr="00DC1992">
        <w:t>Sample covariates (elevation, histosol %, mean annual precip, daily temp max and min) at both treated (restored) and candidate control pixels</w:t>
      </w:r>
    </w:p>
    <w:p w14:paraId="155405F3" w14:textId="77777777" w:rsidR="00DC1992" w:rsidRPr="00DC1992" w:rsidRDefault="00DC1992" w:rsidP="00A30BF4">
      <w:pPr>
        <w:numPr>
          <w:ilvl w:val="1"/>
          <w:numId w:val="8"/>
        </w:numPr>
      </w:pPr>
      <w:r w:rsidRPr="00DC1992">
        <w:t xml:space="preserve">Nearest-neighbor matching of treated and control pixels within covariate space </w:t>
      </w:r>
    </w:p>
    <w:p w14:paraId="5374F81E" w14:textId="77777777" w:rsidR="00DC1992" w:rsidRPr="00DC1992" w:rsidRDefault="00DC1992" w:rsidP="00A30BF4">
      <w:pPr>
        <w:numPr>
          <w:ilvl w:val="2"/>
          <w:numId w:val="8"/>
        </w:numPr>
      </w:pPr>
      <w:r w:rsidRPr="00DC1992">
        <w:lastRenderedPageBreak/>
        <w:t>pair each treated pixel within each year with its nearest control based on the minimum Mahalanobis distance where each continuous covariate column is treated as a separate dimension</w:t>
      </w:r>
    </w:p>
    <w:p w14:paraId="495F839F" w14:textId="77777777" w:rsidR="00DC1992" w:rsidRPr="00DC1992" w:rsidRDefault="00DC1992" w:rsidP="00A30BF4">
      <w:pPr>
        <w:numPr>
          <w:ilvl w:val="3"/>
          <w:numId w:val="8"/>
        </w:numPr>
      </w:pPr>
      <w:r w:rsidRPr="00DC1992">
        <w:t>whiten the covariate matrix by mean-centering and multiplying by the sqrt of its inverse covariance matrix</w:t>
      </w:r>
    </w:p>
    <w:p w14:paraId="704933BD" w14:textId="77777777" w:rsidR="00DC1992" w:rsidRPr="00DC1992" w:rsidRDefault="00DC1992" w:rsidP="00A30BF4">
      <w:pPr>
        <w:numPr>
          <w:ilvl w:val="3"/>
          <w:numId w:val="8"/>
        </w:numPr>
      </w:pPr>
      <w:r w:rsidRPr="00DC1992">
        <w:t>then find Euclidean distance within this whitened space.</w:t>
      </w:r>
    </w:p>
    <w:p w14:paraId="4352D6B7" w14:textId="77777777" w:rsidR="00DC1992" w:rsidRPr="00DC1992" w:rsidRDefault="00DC1992" w:rsidP="00A30BF4">
      <w:pPr>
        <w:numPr>
          <w:ilvl w:val="2"/>
          <w:numId w:val="8"/>
        </w:numPr>
      </w:pPr>
      <w:r w:rsidRPr="00DC1992">
        <w:t>Match exactly on categorical covariates (like land cover) – not implemented yet though.</w:t>
      </w:r>
    </w:p>
    <w:p w14:paraId="5C040A76" w14:textId="77777777" w:rsidR="00DC1992" w:rsidRPr="00DC1992" w:rsidRDefault="00DC1992" w:rsidP="00A30BF4">
      <w:pPr>
        <w:numPr>
          <w:ilvl w:val="3"/>
          <w:numId w:val="8"/>
        </w:numPr>
      </w:pPr>
      <w:r w:rsidRPr="00DC1992">
        <w:t>Group data by categorical covariates and do matching within each group</w:t>
      </w:r>
    </w:p>
    <w:p w14:paraId="221244DC" w14:textId="77777777" w:rsidR="00DC1992" w:rsidRPr="00DC1992" w:rsidRDefault="00DC1992" w:rsidP="00A30BF4">
      <w:pPr>
        <w:numPr>
          <w:ilvl w:val="2"/>
          <w:numId w:val="8"/>
        </w:numPr>
      </w:pPr>
      <w:r w:rsidRPr="00DC1992">
        <w:t>Drop treated pixels with no close controls</w:t>
      </w:r>
    </w:p>
    <w:p w14:paraId="31E8664B" w14:textId="77777777" w:rsidR="00DC1992" w:rsidRPr="00DC1992" w:rsidRDefault="00DC1992" w:rsidP="00A30BF4">
      <w:pPr>
        <w:numPr>
          <w:ilvl w:val="3"/>
          <w:numId w:val="8"/>
        </w:numPr>
      </w:pPr>
      <w:r w:rsidRPr="00DC1992">
        <w:t>If a treated pixel has no control pixels within 1 SD (caliper; distance ceiling), drop it and add it to a drop count</w:t>
      </w:r>
    </w:p>
    <w:p w14:paraId="3BA911D4" w14:textId="77777777" w:rsidR="00DC1992" w:rsidRPr="00DC1992" w:rsidRDefault="00DC1992" w:rsidP="00A30BF4">
      <w:pPr>
        <w:numPr>
          <w:ilvl w:val="2"/>
          <w:numId w:val="8"/>
        </w:numPr>
      </w:pPr>
      <w:r w:rsidRPr="00DC1992">
        <w:t>Use each control at most once; don't repeat control pixels across treated pixels</w:t>
      </w:r>
    </w:p>
    <w:p w14:paraId="601DCFE6" w14:textId="77777777" w:rsidR="00DC1992" w:rsidRPr="00DC1992" w:rsidRDefault="00DC1992" w:rsidP="00A30BF4">
      <w:pPr>
        <w:numPr>
          <w:ilvl w:val="1"/>
          <w:numId w:val="8"/>
        </w:numPr>
      </w:pPr>
      <w:r w:rsidRPr="00DC1992">
        <w:t>Test if matching worked by finding the standardized mean difference per covariate</w:t>
      </w:r>
    </w:p>
    <w:p w14:paraId="0B4527E9" w14:textId="41C16865" w:rsidR="00ED0E02" w:rsidRPr="00DC1992" w:rsidRDefault="00DC1992" w:rsidP="00A30BF4">
      <w:pPr>
        <w:numPr>
          <w:ilvl w:val="2"/>
          <w:numId w:val="8"/>
        </w:numPr>
      </w:pPr>
      <w:r w:rsidRPr="00DC1992">
        <w:t>Standardized mean difference (SMD) = Mean treated across pixels – mean control across pixels / pooled SD</w:t>
      </w:r>
    </w:p>
    <w:p w14:paraId="1A3B8D69" w14:textId="77777777" w:rsidR="00DC1992" w:rsidRPr="00166591" w:rsidRDefault="00DC1992" w:rsidP="00FD334A"/>
    <w:p w14:paraId="1D9D6838" w14:textId="22694812" w:rsidR="00442BEC" w:rsidRDefault="00A30BF4" w:rsidP="00ED0E02">
      <w:pPr>
        <w:pStyle w:val="Heading2"/>
      </w:pPr>
      <w:r>
        <w:t>Difference-in-differences model</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lastRenderedPageBreak/>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6"/>
      <w:commentRangeStart w:id="7"/>
      <w:r w:rsidR="001D19E8">
        <w:t>VIIRS Active Fire,</w:t>
      </w:r>
      <w:r w:rsidR="00095234">
        <w:t xml:space="preserve"> GABAM</w:t>
      </w:r>
      <w:r w:rsidR="001D19E8">
        <w:t>, and SE FireMap, respectively.</w:t>
      </w:r>
      <w:commentRangeEnd w:id="6"/>
      <w:r w:rsidR="004F51F4">
        <w:rPr>
          <w:rStyle w:val="CommentReference"/>
          <w:sz w:val="24"/>
          <w:szCs w:val="24"/>
        </w:rPr>
        <w:commentReference w:id="6"/>
      </w:r>
      <w:commentRangeEnd w:id="7"/>
      <w:r w:rsidR="004F51F4">
        <w:rPr>
          <w:rStyle w:val="CommentReference"/>
          <w:sz w:val="24"/>
          <w:szCs w:val="24"/>
        </w:rPr>
        <w:commentReference w:id="7"/>
      </w:r>
    </w:p>
    <w:p w14:paraId="7B84015F" w14:textId="31452DD2" w:rsidR="00E04B9A" w:rsidRPr="00167829" w:rsidRDefault="00B906B8" w:rsidP="00167829">
      <w:pPr>
        <w:ind w:firstLine="720"/>
      </w:pPr>
      <w:r>
        <w:lastRenderedPageBreak/>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8"/>
      <w:r w:rsidR="00AD39E0">
        <w:t>accuracy</w:t>
      </w:r>
      <w:commentRangeEnd w:id="8"/>
      <w:r w:rsidR="00441181">
        <w:rPr>
          <w:rStyle w:val="CommentReference"/>
          <w:sz w:val="24"/>
          <w:szCs w:val="24"/>
        </w:rPr>
        <w:commentReference w:id="8"/>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9"/>
      <w:r>
        <w:t>ground truth reference datasets</w:t>
      </w:r>
      <w:r w:rsidR="002D6C5E">
        <w:t xml:space="preserve"> over North Carolina</w:t>
      </w:r>
      <w:r w:rsidR="0013473C">
        <w:t xml:space="preserve"> peatlands</w:t>
      </w:r>
      <w:r>
        <w:t xml:space="preserve"> </w:t>
      </w:r>
      <w:commentRangeEnd w:id="9"/>
      <w:r w:rsidR="002B30E9">
        <w:rPr>
          <w:rStyle w:val="CommentReference"/>
          <w:sz w:val="24"/>
          <w:szCs w:val="24"/>
        </w:rPr>
        <w:commentReference w:id="9"/>
      </w:r>
      <w:commentRangeStart w:id="10"/>
      <w:commentRangeStart w:id="11"/>
      <w:r>
        <w:t>(</w:t>
      </w:r>
      <w:r w:rsidR="00020819">
        <w:t>Fig. X</w:t>
      </w:r>
      <w:commentRangeEnd w:id="10"/>
      <w:r w:rsidR="008D61D3">
        <w:rPr>
          <w:rStyle w:val="CommentReference"/>
          <w:sz w:val="24"/>
          <w:szCs w:val="24"/>
        </w:rPr>
        <w:commentReference w:id="10"/>
      </w:r>
      <w:commentRangeEnd w:id="11"/>
      <w:r w:rsidR="00C257DB">
        <w:rPr>
          <w:rStyle w:val="CommentReference"/>
          <w:sz w:val="24"/>
          <w:szCs w:val="24"/>
        </w:rPr>
        <w:commentReference w:id="11"/>
      </w:r>
      <w:r w:rsidR="00020819">
        <w:t xml:space="preserve">; </w:t>
      </w:r>
      <w:commentRangeStart w:id="12"/>
      <w:r>
        <w:t xml:space="preserve">see </w:t>
      </w:r>
      <w:commentRangeStart w:id="13"/>
      <w:commentRangeStart w:id="14"/>
      <w:r>
        <w:t>Methods</w:t>
      </w:r>
      <w:commentRangeEnd w:id="12"/>
      <w:r>
        <w:rPr>
          <w:rStyle w:val="CommentReference"/>
          <w:sz w:val="24"/>
          <w:szCs w:val="24"/>
        </w:rPr>
        <w:commentReference w:id="12"/>
      </w:r>
      <w:commentRangeEnd w:id="13"/>
      <w:r w:rsidR="00B265FB">
        <w:rPr>
          <w:rStyle w:val="CommentReference"/>
          <w:sz w:val="24"/>
          <w:szCs w:val="24"/>
        </w:rPr>
        <w:commentReference w:id="13"/>
      </w:r>
      <w:commentRangeEnd w:id="14"/>
      <w:r w:rsidR="00A51350">
        <w:rPr>
          <w:rStyle w:val="CommentReference"/>
          <w:sz w:val="24"/>
          <w:szCs w:val="24"/>
        </w:rPr>
        <w:commentReference w:id="14"/>
      </w:r>
      <w:r>
        <w:t>)</w:t>
      </w:r>
      <w:r w:rsidR="00AD39E0">
        <w:t>.</w:t>
      </w:r>
      <w:r w:rsidR="007D4FB5">
        <w:t xml:space="preserve"> </w:t>
      </w:r>
    </w:p>
    <w:p w14:paraId="11978630" w14:textId="218E964D" w:rsidR="00C10910" w:rsidRDefault="00C10910" w:rsidP="00C10910">
      <w:pPr>
        <w:jc w:val="center"/>
      </w:pPr>
      <w:r>
        <w:rPr>
          <w:noProof/>
        </w:rPr>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A is geomac, b is nifc ifph, c is tnc coastal plains</w:t>
      </w:r>
    </w:p>
    <w:p w14:paraId="7164A4C5" w14:textId="3A542DDC" w:rsidR="00B906B8" w:rsidRDefault="00F37328" w:rsidP="00D73B83">
      <w:pPr>
        <w:ind w:firstLine="720"/>
      </w:pPr>
      <w:r>
        <w:lastRenderedPageBreak/>
        <w:t xml:space="preserve">Based on these accuracy results, the FireCCIS311 burned area product was determined to have the best </w:t>
      </w:r>
      <w:commentRangeStart w:id="15"/>
      <w:r>
        <w:t xml:space="preserve">spatial accuracy </w:t>
      </w:r>
      <w:commentRangeEnd w:id="15"/>
      <w:r w:rsidR="000F0A63">
        <w:rPr>
          <w:rStyle w:val="CommentReference"/>
          <w:sz w:val="24"/>
          <w:szCs w:val="24"/>
        </w:rPr>
        <w:commentReference w:id="15"/>
      </w:r>
      <w:r w:rsidR="003A0AD2">
        <w:t>in North Carolina peatlands and was initially used for the</w:t>
      </w:r>
      <w:r>
        <w:t xml:space="preserve"> </w:t>
      </w:r>
      <w:commentRangeStart w:id="16"/>
      <w:r w:rsidR="003A0AD2">
        <w:t>modelling analyses</w:t>
      </w:r>
      <w:commentRangeEnd w:id="16"/>
      <w:r w:rsidR="003A0AD2">
        <w:rPr>
          <w:rStyle w:val="CommentReference"/>
          <w:sz w:val="24"/>
          <w:szCs w:val="24"/>
        </w:rPr>
        <w:commentReference w:id="16"/>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7"/>
      <w:r w:rsidR="00951215">
        <w:t xml:space="preserve">modelling analyses </w:t>
      </w:r>
      <w:commentRangeEnd w:id="17"/>
      <w:r w:rsidR="00951215">
        <w:rPr>
          <w:rStyle w:val="CommentReference"/>
          <w:sz w:val="24"/>
          <w:szCs w:val="24"/>
        </w:rPr>
        <w:commentReference w:id="17"/>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36DFE99B" w:rsidR="007E5B22" w:rsidRDefault="00372DED" w:rsidP="002C70FC">
      <w:r>
        <w:t>Next, the impact of restoration on burned area was assessed using a logistic regression model and a difference-in-differences</w:t>
      </w:r>
      <w:r w:rsidR="006D4C4B">
        <w:t xml:space="preserve"> (DiD)</w:t>
      </w:r>
      <w:r>
        <w:t xml:space="preserve">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r w:rsidR="00EB5DCE">
        <w:t xml:space="preserve"> Raw burn rates </w:t>
      </w:r>
      <w:r w:rsidR="00CE4FC9">
        <w:t xml:space="preserve">over time </w:t>
      </w:r>
      <w:r w:rsidR="00EB5DCE">
        <w:t>in restored</w:t>
      </w:r>
      <w:r w:rsidR="00CE4FC9">
        <w:t xml:space="preserve"> (treated)</w:t>
      </w:r>
      <w:r w:rsidR="00EB5DCE">
        <w:t xml:space="preserve"> peat pixels </w:t>
      </w:r>
      <w:r w:rsidR="00CE4FC9">
        <w:t>and non-treated (control) pixels</w:t>
      </w:r>
      <w:r w:rsidR="002B2A2D">
        <w:t xml:space="preserve"> are shown in Fig. X.</w:t>
      </w:r>
    </w:p>
    <w:p w14:paraId="333E4B72" w14:textId="77777777" w:rsidR="00EB5DCE" w:rsidRDefault="00EB5DCE" w:rsidP="00EB5DCE">
      <w:pPr>
        <w:jc w:val="center"/>
      </w:pPr>
      <w:commentRangeStart w:id="18"/>
      <w:r>
        <w:rPr>
          <w:noProof/>
        </w:rPr>
        <w:drawing>
          <wp:inline distT="0" distB="0" distL="0" distR="0" wp14:anchorId="11B5E7F3" wp14:editId="0A900037">
            <wp:extent cx="3114885" cy="4037702"/>
            <wp:effectExtent l="0" t="0" r="0" b="1270"/>
            <wp:docPr id="11101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2600" name="Picture 1110126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0934" cy="4045544"/>
                    </a:xfrm>
                    <a:prstGeom prst="rect">
                      <a:avLst/>
                    </a:prstGeom>
                  </pic:spPr>
                </pic:pic>
              </a:graphicData>
            </a:graphic>
          </wp:inline>
        </w:drawing>
      </w:r>
      <w:commentRangeEnd w:id="18"/>
      <w:r>
        <w:rPr>
          <w:rStyle w:val="CommentReference"/>
          <w:sz w:val="24"/>
          <w:szCs w:val="24"/>
        </w:rPr>
        <w:commentReference w:id="18"/>
      </w:r>
    </w:p>
    <w:p w14:paraId="77E11A2B" w14:textId="77777777" w:rsidR="00EB5DCE" w:rsidRDefault="00EB5DCE" w:rsidP="00EB5DCE">
      <w:pPr>
        <w:jc w:val="center"/>
      </w:pPr>
      <w:r>
        <w:t xml:space="preserve">Fig. X. Raw burn rate in treated and control pixels. </w:t>
      </w:r>
      <w:r w:rsidRPr="00AC6D43">
        <w:rPr>
          <w:b/>
          <w:bCs/>
        </w:rPr>
        <w:t xml:space="preserve">a, </w:t>
      </w:r>
      <w:r>
        <w:t xml:space="preserve">raw burn rate by years since restoration. </w:t>
      </w:r>
      <w:r w:rsidRPr="00AC6D43">
        <w:rPr>
          <w:b/>
          <w:bCs/>
        </w:rPr>
        <w:t>b,</w:t>
      </w:r>
      <w:r>
        <w:t xml:space="preserve"> raw burn rate by calendar year.</w:t>
      </w:r>
    </w:p>
    <w:p w14:paraId="7668F2FA" w14:textId="77777777" w:rsidR="00EB5DCE" w:rsidRDefault="00EB5DCE" w:rsidP="002C70FC"/>
    <w:p w14:paraId="64E8BF92" w14:textId="2DEBEB87" w:rsidR="00576C30" w:rsidRDefault="00576C30" w:rsidP="00576C30">
      <w:pPr>
        <w:pStyle w:val="Heading3"/>
      </w:pPr>
      <w:r>
        <w:lastRenderedPageBreak/>
        <w:t>Logistic Regression</w:t>
      </w:r>
    </w:p>
    <w:p w14:paraId="267B5F0C" w14:textId="208DA513" w:rsidR="00D1750E" w:rsidRDefault="00576C30" w:rsidP="002C70FC">
      <w:r>
        <w:t>In the logistic regression model</w:t>
      </w:r>
      <w:r w:rsidR="00372DED">
        <w:t>, to</w:t>
      </w:r>
      <w:r w:rsidR="00110000">
        <w:t xml:space="preserve"> control for the influence of </w:t>
      </w:r>
      <w:r w:rsidR="007E5B22">
        <w:t>covariates on burned area</w:t>
      </w:r>
      <w:commentRangeStart w:id="19"/>
      <w:r w:rsidR="00D1750E">
        <w:t xml:space="preserve">, </w:t>
      </w:r>
      <w:r w:rsidR="002167D6">
        <w:t xml:space="preserve">a matched pair was </w:t>
      </w:r>
      <w:r>
        <w:t xml:space="preserve">first </w:t>
      </w:r>
      <w:r w:rsidR="002167D6">
        <w:t xml:space="preserve">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 xml:space="preserve">with respect to the following covariates (see Methods): </w:t>
      </w:r>
      <w:r w:rsidR="003C3A39">
        <w:t xml:space="preserve">drainage, soil_site_index, soil_awc, soil_organic_matter, </w:t>
      </w:r>
      <w:r w:rsidR="00640106">
        <w:t>gdd_normal, histosol_pct, elevation</w:t>
      </w:r>
      <w:r w:rsidR="00D1750E">
        <w:t>.</w:t>
      </w:r>
      <w:commentRangeEnd w:id="19"/>
      <w:r w:rsidR="00D1750E">
        <w:rPr>
          <w:rStyle w:val="CommentReference"/>
          <w:sz w:val="24"/>
          <w:szCs w:val="24"/>
        </w:rPr>
        <w:commentReference w:id="19"/>
      </w:r>
      <w:r w:rsidR="00F86B9F">
        <w:t xml:space="preserve"> </w:t>
      </w:r>
      <w:r w:rsidR="00015B8D">
        <w:t xml:space="preserve">PDSI was not included because </w:t>
      </w:r>
      <w:r w:rsidR="00862B03">
        <w:t xml:space="preserve">the other values were normalized across years, and PDSI would be near-constant when this was done. </w:t>
      </w:r>
      <w:r w:rsidR="006F58E7">
        <w:t xml:space="preserve">The model provided no </w:t>
      </w:r>
      <w:r w:rsidR="00F31D74">
        <w:t>significant</w:t>
      </w:r>
      <w:r w:rsidR="006F58E7">
        <w:t xml:space="preserve"> results on which </w:t>
      </w:r>
      <w:r w:rsidR="00862B03">
        <w:t xml:space="preserve">covariates </w:t>
      </w:r>
      <w:r w:rsidR="00F31D74">
        <w:t>were most predictive of fire odds.</w:t>
      </w:r>
    </w:p>
    <w:p w14:paraId="789B516B" w14:textId="77777777" w:rsidR="002B2A2D" w:rsidRDefault="002B2A2D" w:rsidP="002B2A2D">
      <w:pPr>
        <w:jc w:val="center"/>
      </w:pPr>
      <w:commentRangeStart w:id="20"/>
      <w:r>
        <w:rPr>
          <w:noProof/>
        </w:rPr>
        <w:drawing>
          <wp:inline distT="0" distB="0" distL="0" distR="0" wp14:anchorId="10D0FBB8" wp14:editId="6038D89B">
            <wp:extent cx="3291840" cy="3112851"/>
            <wp:effectExtent l="0" t="0" r="0" b="0"/>
            <wp:docPr id="1745091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0" name="Picture 1745091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7931" cy="3118611"/>
                    </a:xfrm>
                    <a:prstGeom prst="rect">
                      <a:avLst/>
                    </a:prstGeom>
                  </pic:spPr>
                </pic:pic>
              </a:graphicData>
            </a:graphic>
          </wp:inline>
        </w:drawing>
      </w:r>
      <w:commentRangeEnd w:id="20"/>
      <w:r w:rsidR="007205AB">
        <w:rPr>
          <w:rStyle w:val="CommentReference"/>
          <w:sz w:val="24"/>
          <w:szCs w:val="24"/>
        </w:rPr>
        <w:commentReference w:id="20"/>
      </w:r>
    </w:p>
    <w:p w14:paraId="798F7D90" w14:textId="7B077640" w:rsidR="002B2A2D" w:rsidRDefault="002B2A2D" w:rsidP="002B2A2D">
      <w:pPr>
        <w:jc w:val="center"/>
      </w:pPr>
      <w:r>
        <w:t>Fig. X. Odds ratios for logistic regression</w:t>
      </w:r>
      <w:r w:rsidR="007205AB">
        <w:t xml:space="preserve"> with standard errors clustered by site.</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14A57302" w:rsidR="002470B1" w:rsidRDefault="006D4C4B" w:rsidP="002C70FC">
      <w:r>
        <w:t>The DiD model first matched each restored peat pixel with its most similar control pixel based on a prognostic and propensity score (see Methods;</w:t>
      </w:r>
      <w:r w:rsidR="002470B1">
        <w:t xml:space="preserve"> </w:t>
      </w:r>
      <w:r>
        <w:fldChar w:fldCharType="begin"/>
      </w:r>
      <w:r>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Pr>
          <w:rFonts w:ascii="Cambria Math" w:hAnsi="Cambria Math" w:cs="Cambria Math"/>
        </w:rPr>
        <w:instrText>ﬀ</w:instrText>
      </w:r>
      <w:r>
        <w:instrText>ect parameters using Di</w:instrText>
      </w:r>
      <w:r>
        <w:rPr>
          <w:rFonts w:ascii="Cambria Math" w:hAnsi="Cambria Math" w:cs="Cambria Math"/>
        </w:rPr>
        <w:instrText>ﬀ</w:instrText>
      </w:r>
      <w:r>
        <w:instrText>erence-in-Di</w:instrText>
      </w:r>
      <w:r>
        <w:rPr>
          <w:rFonts w:ascii="Cambria Math" w:hAnsi="Cambria Math" w:cs="Cambria Math"/>
        </w:rPr>
        <w:instrText>ﬀ</w:instrText>
      </w:r>
      <w:r>
        <w:instrText>erences (DiD) with (i) multiple time periods, (ii) variation in treatment timing, and (iii) when the “parallel trends assumption” holds potentially only after conditioning on observed covariates. We show that a family of causal e</w:instrText>
      </w:r>
      <w:r>
        <w:rPr>
          <w:rFonts w:ascii="Cambria Math" w:hAnsi="Cambria Math" w:cs="Cambria Math"/>
        </w:rPr>
        <w:instrText>ﬀ</w:instrText>
      </w:r>
      <w:r>
        <w:instrText>ect parameters are identiﬁed in staggered DiD setups, even if di</w:instrText>
      </w:r>
      <w:r>
        <w:rPr>
          <w:rFonts w:ascii="Cambria Math" w:hAnsi="Cambria Math" w:cs="Cambria Math"/>
        </w:rPr>
        <w:instrText>ﬀ</w:instrText>
      </w:r>
      <w:r>
        <w:instrText>erences in observed characteristics create non-parallel outcome dynamics between groups. Our identiﬁcation results allow one to use outcome regression, inverse probability weighting, or doubly-robust estimands. We also propose di</w:instrText>
      </w:r>
      <w:r>
        <w:rPr>
          <w:rFonts w:ascii="Cambria Math" w:hAnsi="Cambria Math" w:cs="Cambria Math"/>
        </w:rPr>
        <w:instrText>ﬀ</w:instrText>
      </w:r>
      <w:r>
        <w:instrText>erent aggregation schemes that can be used to highlight treatment e</w:instrText>
      </w:r>
      <w:r>
        <w:rPr>
          <w:rFonts w:ascii="Cambria Math" w:hAnsi="Cambria Math" w:cs="Cambria Math"/>
        </w:rPr>
        <w:instrText>ﬀ</w:instrText>
      </w:r>
      <w:r>
        <w:instrText>ect heterogeneity across di</w:instrText>
      </w:r>
      <w:r>
        <w:rPr>
          <w:rFonts w:ascii="Cambria Math" w:hAnsi="Cambria Math" w:cs="Cambria Math"/>
        </w:rPr>
        <w:instrText>ﬀ</w:instrText>
      </w:r>
      <w:r>
        <w:instrText>erent dimensions as well as to summarize the overall e</w:instrText>
      </w:r>
      <w:r>
        <w:rPr>
          <w:rFonts w:ascii="Cambria Math" w:hAnsi="Cambria Math" w:cs="Cambria Math"/>
        </w:rPr>
        <w:instrText>ﬀ</w:instrText>
      </w:r>
      <w:r>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Pr>
          <w:rFonts w:ascii="Cambria Math" w:hAnsi="Cambria Math" w:cs="Cambria Math"/>
        </w:rPr>
        <w:instrText>ﬀ</w:instrText>
      </w:r>
      <w:r>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fldChar w:fldCharType="separate"/>
      </w:r>
      <w:r w:rsidRPr="007037E5">
        <w:rPr>
          <w:rFonts w:ascii="Aptos" w:cs="Times New Roman"/>
          <w:kern w:val="0"/>
        </w:rPr>
        <w:t>Callaway &amp; Sant’Anna, 2020; Castro et al., 2026)</w:t>
      </w:r>
      <w:r>
        <w:fldChar w:fldCharType="end"/>
      </w:r>
      <w:r>
        <w:t>.</w:t>
      </w:r>
      <w:r w:rsidR="000317F6">
        <w:t xml:space="preserve"> However, the assumption of parallel burned area trends between treated and matched control pixels prior to restoration did not hold (Fig. X).</w:t>
      </w:r>
    </w:p>
    <w:p w14:paraId="16DEF7A2" w14:textId="77777777" w:rsidR="003975FE" w:rsidRDefault="003975FE" w:rsidP="002C70FC"/>
    <w:p w14:paraId="67B3AA0E" w14:textId="77777777" w:rsidR="00914068" w:rsidRDefault="00914068" w:rsidP="00AC6D43">
      <w:pPr>
        <w:jc w:val="center"/>
      </w:pPr>
    </w:p>
    <w:p w14:paraId="78973D13" w14:textId="2023552F" w:rsidR="003A0876" w:rsidRDefault="00280929" w:rsidP="00AC6D43">
      <w:pPr>
        <w:jc w:val="center"/>
      </w:pPr>
      <w:r>
        <w:rPr>
          <w:noProof/>
        </w:rPr>
        <w:lastRenderedPageBreak/>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16">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2FCA22C6" w:rsidR="00012E02" w:rsidRDefault="00280929" w:rsidP="00AC6D43">
      <w:pPr>
        <w:jc w:val="center"/>
      </w:pPr>
      <w:r>
        <w:t>Fig. X. DiD results.</w:t>
      </w:r>
      <w:r w:rsidR="004012F1">
        <w:t xml:space="preserve"> ATT = average treatment effect on the treated.</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2FB51D9D" w14:textId="5B2374CC" w:rsidR="00630AC5" w:rsidRDefault="00630AC5" w:rsidP="003524B1">
      <w:r>
        <w:t>I d</w:t>
      </w:r>
      <w:r w:rsidR="00E1200D">
        <w:t>ecided to use the modis product for the temporal coverage.</w:t>
      </w:r>
    </w:p>
    <w:p w14:paraId="0E3D637C" w14:textId="7CF8738F" w:rsidR="00B1747C" w:rsidRDefault="00E1200D" w:rsidP="003524B1">
      <w:r>
        <w:t xml:space="preserve">I decided to implement a logistic regression model initially for simplicity and then the did model </w:t>
      </w:r>
      <w:r w:rsidR="00B1747C">
        <w:t>to match the castro et al 2026 methods</w:t>
      </w:r>
    </w:p>
    <w:p w14:paraId="4C89B02F" w14:textId="11373871" w:rsidR="003524B1" w:rsidRDefault="003524B1" w:rsidP="003524B1">
      <w:commentRangeStart w:id="21"/>
      <w:r>
        <w:t>What factors best predict fire</w:t>
      </w:r>
      <w:commentRangeEnd w:id="21"/>
      <w:r w:rsidR="00D174D8">
        <w:rPr>
          <w:rStyle w:val="CommentReference"/>
          <w:sz w:val="24"/>
          <w:szCs w:val="24"/>
        </w:rPr>
        <w:commentReference w:id="21"/>
      </w:r>
    </w:p>
    <w:p w14:paraId="6C26E7CF" w14:textId="6D82AC78" w:rsidR="00B1747C" w:rsidRPr="003524B1" w:rsidRDefault="00B1747C" w:rsidP="003524B1">
      <w:r>
        <w:t>It’s hard to say which factors best predict fire as neither model produced significant results</w:t>
      </w:r>
      <w:r w:rsidR="00A73560">
        <w:t xml:space="preserve"> at the site level </w:t>
      </w:r>
    </w:p>
    <w:p w14:paraId="3003F2A1" w14:textId="37F6C448" w:rsidR="003524B1" w:rsidRPr="003524B1" w:rsidRDefault="003524B1" w:rsidP="003524B1">
      <w:r>
        <w:t>Next steps</w:t>
      </w:r>
    </w:p>
    <w:p w14:paraId="795E2AC6"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Get hydrological site data from eric that can split each restoration site into 5 or 6 pieces?</w:t>
      </w:r>
    </w:p>
    <w:p w14:paraId="2C9BF0FB"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Use planned, but not yet completed, restoration sites as the candidate control pool rather than all of NC peatlands</w:t>
      </w:r>
    </w:p>
    <w:p w14:paraId="75789B2E"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lastRenderedPageBreak/>
        <w:t>This might improve the parallel trends assumption</w:t>
      </w:r>
    </w:p>
    <w:p w14:paraId="2EE63749"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Fire return interval might be reduced? This is the time between consecutive fires</w:t>
      </w:r>
    </w:p>
    <w:p w14:paraId="50E3C3DC"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Though this would require a pixel be burned twice, which is highly unlikely..</w:t>
      </w:r>
    </w:p>
    <w:p w14:paraId="5C22C054" w14:textId="77777777" w:rsidR="00991084" w:rsidRDefault="00991084" w:rsidP="00991084"/>
    <w:p w14:paraId="2EC0931B" w14:textId="77777777" w:rsidR="00991084" w:rsidRDefault="00991084" w:rsidP="00C80AC3">
      <w:r>
        <w:t>Figure plan</w:t>
      </w:r>
    </w:p>
    <w:p w14:paraId="2CD844B5" w14:textId="77777777" w:rsidR="00991084" w:rsidRDefault="00991084" w:rsidP="00C80AC3">
      <w:pPr>
        <w:pStyle w:val="ListParagraph"/>
        <w:numPr>
          <w:ilvl w:val="0"/>
          <w:numId w:val="2"/>
        </w:numPr>
      </w:pPr>
      <w:r>
        <w:t>Raw burn rate for matched and control pixels – don’t need any figures for matching itself I think or the covariates; just describe the matching procedure in the methods and say what covariates I matched on</w:t>
      </w:r>
    </w:p>
    <w:p w14:paraId="7FD09BAE" w14:textId="77777777" w:rsidR="00991084" w:rsidRDefault="00991084" w:rsidP="00C80AC3">
      <w:pPr>
        <w:pStyle w:val="ListParagraph"/>
        <w:numPr>
          <w:ilvl w:val="1"/>
          <w:numId w:val="2"/>
        </w:numPr>
      </w:pPr>
      <w:r>
        <w:t>Put this in for modis – fix the spacing between year labels on the x axis first though.</w:t>
      </w:r>
    </w:p>
    <w:p w14:paraId="00F170CE" w14:textId="77777777" w:rsidR="00991084" w:rsidRDefault="00991084" w:rsidP="00C80AC3">
      <w:pPr>
        <w:pStyle w:val="ListParagraph"/>
        <w:numPr>
          <w:ilvl w:val="1"/>
          <w:numId w:val="2"/>
        </w:numPr>
      </w:pPr>
      <w:r>
        <w:t>A is raw burn rate by event time, B is raw burn rate by calendar year.</w:t>
      </w:r>
    </w:p>
    <w:p w14:paraId="4981356C" w14:textId="77777777" w:rsidR="00991084" w:rsidRDefault="00991084" w:rsidP="00C80AC3">
      <w:pPr>
        <w:pStyle w:val="ListParagraph"/>
        <w:numPr>
          <w:ilvl w:val="0"/>
          <w:numId w:val="2"/>
        </w:numPr>
      </w:pPr>
      <w:r>
        <w:t>Put figure for logistic regression results</w:t>
      </w:r>
    </w:p>
    <w:p w14:paraId="7CEB5EFA" w14:textId="77777777" w:rsidR="00991084" w:rsidRDefault="00991084" w:rsidP="00C80AC3">
      <w:pPr>
        <w:pStyle w:val="ListParagraph"/>
        <w:numPr>
          <w:ilvl w:val="1"/>
          <w:numId w:val="2"/>
        </w:numPr>
      </w:pPr>
      <w:r>
        <w:t xml:space="preserve">Say this was a first pass attempt at modeling the impact of treatment on burned area, given covariates. </w:t>
      </w:r>
    </w:p>
    <w:p w14:paraId="6CA793F4" w14:textId="77777777" w:rsidR="00991084" w:rsidRDefault="00991084" w:rsidP="00C80AC3">
      <w:pPr>
        <w:pStyle w:val="ListParagraph"/>
        <w:numPr>
          <w:ilvl w:val="0"/>
          <w:numId w:val="2"/>
        </w:numPr>
      </w:pPr>
      <w:r>
        <w:t>Put figure for DiD modeling results</w:t>
      </w:r>
    </w:p>
    <w:p w14:paraId="73E3F07F" w14:textId="77777777" w:rsidR="00991084" w:rsidRDefault="00991084" w:rsidP="00C80AC3">
      <w:pPr>
        <w:pStyle w:val="ListParagraph"/>
        <w:numPr>
          <w:ilvl w:val="1"/>
          <w:numId w:val="2"/>
        </w:numPr>
      </w:pPr>
      <w:r>
        <w:t>Put in the site-level clustered SE results, rather than the pixel level. Caveat that this is inconclusive because of the low number of site-years in the dataset.</w:t>
      </w:r>
    </w:p>
    <w:p w14:paraId="0A8E37E5" w14:textId="77777777" w:rsidR="00991084" w:rsidRDefault="00991084" w:rsidP="00C80AC3">
      <w:pPr>
        <w:pStyle w:val="ListParagraph"/>
        <w:numPr>
          <w:ilvl w:val="0"/>
          <w:numId w:val="2"/>
        </w:numPr>
      </w:pPr>
      <w:r>
        <w:t>Oh maybe put in the raw burn rate for pdsi and gdd by year.</w:t>
      </w:r>
    </w:p>
    <w:p w14:paraId="0D02F422" w14:textId="77777777" w:rsidR="00991084" w:rsidRDefault="00991084" w:rsidP="00991084"/>
    <w:p w14:paraId="455C68B6" w14:textId="77777777" w:rsidR="00991084" w:rsidRDefault="00991084" w:rsidP="00991084">
      <w:pPr>
        <w:pStyle w:val="ListParagraph"/>
        <w:numPr>
          <w:ilvl w:val="0"/>
          <w:numId w:val="2"/>
        </w:numPr>
      </w:pPr>
      <w:r>
        <w:t>Factors best predicting fire – maybe encapsulate this under “impact of restoration on burned area” (and/or make that term more general)</w:t>
      </w:r>
    </w:p>
    <w:p w14:paraId="0529D5FA" w14:textId="77777777" w:rsidR="00991084" w:rsidRDefault="00991084" w:rsidP="00991084">
      <w:pPr>
        <w:pStyle w:val="ListParagraph"/>
        <w:numPr>
          <w:ilvl w:val="1"/>
          <w:numId w:val="2"/>
        </w:numPr>
      </w:pPr>
      <w:r>
        <w:t>Uh definitely not treatment. Check the covariate plots for these results. Or might need to get the coefficients from the logistic regression instead of the DiD model, which I don’t think outputs how much each individual covariate contributes to the propensity and prognostic scores.</w:t>
      </w:r>
    </w:p>
    <w:p w14:paraId="4C31D4E1" w14:textId="77777777" w:rsidR="00991084" w:rsidRDefault="00991084" w:rsidP="00991084"/>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w:t>
      </w:r>
      <w:r w:rsidRPr="007037E5">
        <w:rPr>
          <w:rFonts w:ascii="Aptos"/>
        </w:rPr>
        <w:lastRenderedPageBreak/>
        <w:t xml:space="preserve">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4T11:16:00Z" w:initials="JZ">
    <w:p w14:paraId="64020041" w14:textId="77777777" w:rsidR="00F616C0" w:rsidRDefault="00F616C0" w:rsidP="00F616C0">
      <w:r>
        <w:rPr>
          <w:rStyle w:val="CommentReference"/>
        </w:rPr>
        <w:annotationRef/>
      </w:r>
      <w:r>
        <w:rPr>
          <w:sz w:val="20"/>
          <w:szCs w:val="20"/>
        </w:rPr>
        <w:t xml:space="preserve">maybe put in a figure for the peatland mask overlaid on nc, and the completed sites with their years? </w:t>
      </w:r>
    </w:p>
    <w:p w14:paraId="3BD0A10B" w14:textId="77777777" w:rsidR="00F616C0" w:rsidRDefault="00F616C0" w:rsidP="00F616C0"/>
    <w:p w14:paraId="7608DE31" w14:textId="77777777" w:rsidR="00F616C0" w:rsidRDefault="00F616C0" w:rsidP="00F616C0">
      <w:r>
        <w:rPr>
          <w:sz w:val="20"/>
          <w:szCs w:val="20"/>
        </w:rPr>
        <w:t>might be too much work though - can do this at the end if i finish everything else on time.</w:t>
      </w:r>
    </w:p>
  </w:comment>
  <w:comment w:id="1" w:author="Jim Zhang" w:date="2026-09-05T10:25:00Z" w:initials="JZ">
    <w:p w14:paraId="1A2A1610" w14:textId="77777777" w:rsidR="002C1431" w:rsidRDefault="002C1431" w:rsidP="002C1431">
      <w:r>
        <w:rPr>
          <w:rStyle w:val="CommentReference"/>
        </w:rPr>
        <w:annotationRef/>
      </w:r>
      <w:r>
        <w:rPr>
          <w:sz w:val="20"/>
          <w:szCs w:val="20"/>
        </w:rPr>
        <w:t>just put in the figure i have and then do a table with the completion years</w:t>
      </w:r>
    </w:p>
  </w:comment>
  <w:comment w:id="2" w:author="Jim Zhang" w:date="2026-09-04T11:03:00Z" w:initials="JZ">
    <w:p w14:paraId="23EAA013" w14:textId="77777777" w:rsidR="00FA01A4" w:rsidRDefault="00FA01A4" w:rsidP="00FA01A4">
      <w:r>
        <w:rPr>
          <w:rStyle w:val="CommentReference"/>
        </w:rPr>
        <w:annotationRef/>
      </w:r>
      <w:r>
        <w:rPr>
          <w:sz w:val="20"/>
          <w:szCs w:val="20"/>
        </w:rPr>
        <w:t>need to describe my data collection notebook</w:t>
      </w:r>
    </w:p>
  </w:comment>
  <w:comment w:id="3" w:author="Jim Zhang" w:date="2026-09-06T09:38:00Z" w:initials="JZ">
    <w:p w14:paraId="0E4A4E13" w14:textId="77777777" w:rsidR="0034367F" w:rsidRDefault="0034367F" w:rsidP="0034367F">
      <w:r>
        <w:rPr>
          <w:rStyle w:val="CommentReference"/>
        </w:rPr>
        <w:annotationRef/>
      </w:r>
      <w:r>
        <w:rPr>
          <w:sz w:val="20"/>
          <w:szCs w:val="20"/>
        </w:rPr>
        <w:t>also need to put in the reference fire datasets too here because im putting a figure of them</w:t>
      </w:r>
    </w:p>
  </w:comment>
  <w:comment w:id="4" w:author="Jim Zhang" w:date="2026-09-05T11:34:00Z" w:initials="JZ">
    <w:p w14:paraId="7B740A5B" w14:textId="77777777" w:rsidR="0051144D" w:rsidRDefault="0051144D" w:rsidP="0051144D">
      <w:r>
        <w:rPr>
          <w:rStyle w:val="CommentReference"/>
        </w:rPr>
        <w:annotationRef/>
      </w:r>
      <w:r>
        <w:rPr>
          <w:sz w:val="20"/>
          <w:szCs w:val="20"/>
        </w:rPr>
        <w:t>honestly, just point to data_inventory.csv entirely and get rid of this table in the report.</w:t>
      </w:r>
    </w:p>
  </w:comment>
  <w:comment w:id="5"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6"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7"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8"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9"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10"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11"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12"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13"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14"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5"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6"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7"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8" w:author="Jim Zhang" w:date="2026-09-08T20:36:00Z" w:initials="JZ">
    <w:p w14:paraId="5164F487" w14:textId="77777777" w:rsidR="00EB5DCE" w:rsidRDefault="00EB5DCE" w:rsidP="00007BEF">
      <w:r>
        <w:rPr>
          <w:rStyle w:val="CommentReference"/>
        </w:rPr>
        <w:annotationRef/>
      </w:r>
      <w:r>
        <w:rPr>
          <w:sz w:val="20"/>
          <w:szCs w:val="20"/>
        </w:rPr>
        <w:t>wait this figure doesn't hold for the did approach then if it uses different control pixels.</w:t>
      </w:r>
    </w:p>
  </w:comment>
  <w:comment w:id="19"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20" w:author="Jim Zhang" w:date="2026-09-12T09:57:00Z" w:initials="JZ">
    <w:p w14:paraId="2A969FB4" w14:textId="77777777" w:rsidR="007205AB" w:rsidRDefault="007205AB" w:rsidP="007205AB">
      <w:r>
        <w:rPr>
          <w:rStyle w:val="CommentReference"/>
        </w:rPr>
        <w:annotationRef/>
      </w:r>
      <w:r>
        <w:rPr>
          <w:sz w:val="20"/>
          <w:szCs w:val="20"/>
        </w:rPr>
        <w:t>maybe rerun this but cluster SEs by pixel?</w:t>
      </w:r>
    </w:p>
  </w:comment>
  <w:comment w:id="21"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608DE31" w15:done="0"/>
  <w15:commentEx w15:paraId="1A2A1610" w15:paraIdParent="7608DE31" w15:done="0"/>
  <w15:commentEx w15:paraId="23EAA013" w15:done="0"/>
  <w15:commentEx w15:paraId="0E4A4E13" w15:paraIdParent="23EAA013" w15:done="0"/>
  <w15:commentEx w15:paraId="7B740A5B" w15:done="0"/>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5164F487" w15:done="0"/>
  <w15:commentEx w15:paraId="65FA1B56" w15:done="0"/>
  <w15:commentEx w15:paraId="2A969FB4"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76131F9" w16cex:dateUtc="2026-09-04T15:16:00Z"/>
  <w16cex:commentExtensible w16cex:durableId="185C4300" w16cex:dateUtc="2026-09-05T14:25:00Z"/>
  <w16cex:commentExtensible w16cex:durableId="19B26B64" w16cex:dateUtc="2026-09-04T15:03:00Z"/>
  <w16cex:commentExtensible w16cex:durableId="313BE90B" w16cex:dateUtc="2026-09-06T13:38:00Z"/>
  <w16cex:commentExtensible w16cex:durableId="2311F1AC" w16cex:dateUtc="2026-09-05T15:34:00Z"/>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5B7F7363" w16cex:dateUtc="2026-09-09T00:36:00Z"/>
  <w16cex:commentExtensible w16cex:durableId="668CBE76" w16cex:dateUtc="2026-09-08T14:59:00Z"/>
  <w16cex:commentExtensible w16cex:durableId="66D4A6E9" w16cex:dateUtc="2026-09-12T13:57: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608DE31" w16cid:durableId="776131F9"/>
  <w16cid:commentId w16cid:paraId="1A2A1610" w16cid:durableId="185C4300"/>
  <w16cid:commentId w16cid:paraId="23EAA013" w16cid:durableId="19B26B64"/>
  <w16cid:commentId w16cid:paraId="0E4A4E13" w16cid:durableId="313BE90B"/>
  <w16cid:commentId w16cid:paraId="7B740A5B" w16cid:durableId="2311F1AC"/>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5164F487" w16cid:durableId="5B7F7363"/>
  <w16cid:commentId w16cid:paraId="65FA1B56" w16cid:durableId="668CBE76"/>
  <w16cid:commentId w16cid:paraId="2A969FB4" w16cid:durableId="66D4A6E9"/>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5"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7"/>
  </w:num>
  <w:num w:numId="2" w16cid:durableId="1413894573">
    <w:abstractNumId w:val="1"/>
  </w:num>
  <w:num w:numId="3" w16cid:durableId="2044791967">
    <w:abstractNumId w:val="9"/>
  </w:num>
  <w:num w:numId="4" w16cid:durableId="1178009750">
    <w:abstractNumId w:val="2"/>
  </w:num>
  <w:num w:numId="5" w16cid:durableId="1652785032">
    <w:abstractNumId w:val="8"/>
  </w:num>
  <w:num w:numId="6" w16cid:durableId="1251043595">
    <w:abstractNumId w:val="5"/>
  </w:num>
  <w:num w:numId="7" w16cid:durableId="1268272234">
    <w:abstractNumId w:val="6"/>
  </w:num>
  <w:num w:numId="8" w16cid:durableId="1317959062">
    <w:abstractNumId w:val="10"/>
  </w:num>
  <w:num w:numId="9" w16cid:durableId="325282124">
    <w:abstractNumId w:val="4"/>
  </w:num>
  <w:num w:numId="10" w16cid:durableId="867178925">
    <w:abstractNumId w:val="3"/>
  </w:num>
  <w:num w:numId="11" w16cid:durableId="206722213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7BEF"/>
    <w:rsid w:val="00012E02"/>
    <w:rsid w:val="00015B8D"/>
    <w:rsid w:val="00020819"/>
    <w:rsid w:val="00024FBF"/>
    <w:rsid w:val="000317F6"/>
    <w:rsid w:val="000633E7"/>
    <w:rsid w:val="0006736A"/>
    <w:rsid w:val="000762EB"/>
    <w:rsid w:val="00080AEC"/>
    <w:rsid w:val="00085FC0"/>
    <w:rsid w:val="0009041D"/>
    <w:rsid w:val="00095234"/>
    <w:rsid w:val="000A6FE1"/>
    <w:rsid w:val="000A7D67"/>
    <w:rsid w:val="000C66B4"/>
    <w:rsid w:val="000F0A63"/>
    <w:rsid w:val="00101D76"/>
    <w:rsid w:val="0010505C"/>
    <w:rsid w:val="00110000"/>
    <w:rsid w:val="00114B54"/>
    <w:rsid w:val="0012246D"/>
    <w:rsid w:val="00130AA7"/>
    <w:rsid w:val="0013473C"/>
    <w:rsid w:val="00141E1C"/>
    <w:rsid w:val="00155DF2"/>
    <w:rsid w:val="0016126F"/>
    <w:rsid w:val="001620FA"/>
    <w:rsid w:val="00162364"/>
    <w:rsid w:val="00164228"/>
    <w:rsid w:val="00164D4A"/>
    <w:rsid w:val="00166591"/>
    <w:rsid w:val="00167829"/>
    <w:rsid w:val="00191722"/>
    <w:rsid w:val="001924DC"/>
    <w:rsid w:val="00195E5F"/>
    <w:rsid w:val="001B55F1"/>
    <w:rsid w:val="001D104C"/>
    <w:rsid w:val="001D19E8"/>
    <w:rsid w:val="001E628D"/>
    <w:rsid w:val="001F24A2"/>
    <w:rsid w:val="00203B28"/>
    <w:rsid w:val="002167D6"/>
    <w:rsid w:val="00227411"/>
    <w:rsid w:val="0023314D"/>
    <w:rsid w:val="00243C20"/>
    <w:rsid w:val="002470B1"/>
    <w:rsid w:val="00267D70"/>
    <w:rsid w:val="00280929"/>
    <w:rsid w:val="00292C9F"/>
    <w:rsid w:val="00296556"/>
    <w:rsid w:val="0029752A"/>
    <w:rsid w:val="002B2A2D"/>
    <w:rsid w:val="002B30E9"/>
    <w:rsid w:val="002C1431"/>
    <w:rsid w:val="002C70FC"/>
    <w:rsid w:val="002D6C5E"/>
    <w:rsid w:val="002D6F3B"/>
    <w:rsid w:val="002F431C"/>
    <w:rsid w:val="002F4362"/>
    <w:rsid w:val="00324591"/>
    <w:rsid w:val="003371C3"/>
    <w:rsid w:val="003408E2"/>
    <w:rsid w:val="0034110F"/>
    <w:rsid w:val="00342901"/>
    <w:rsid w:val="0034367F"/>
    <w:rsid w:val="003524B1"/>
    <w:rsid w:val="0035274E"/>
    <w:rsid w:val="00356E63"/>
    <w:rsid w:val="00361DF6"/>
    <w:rsid w:val="003661FA"/>
    <w:rsid w:val="00372DED"/>
    <w:rsid w:val="00385316"/>
    <w:rsid w:val="003867F7"/>
    <w:rsid w:val="003874ED"/>
    <w:rsid w:val="00392994"/>
    <w:rsid w:val="003949B3"/>
    <w:rsid w:val="00394C72"/>
    <w:rsid w:val="00395DF4"/>
    <w:rsid w:val="003975FE"/>
    <w:rsid w:val="003A0077"/>
    <w:rsid w:val="003A0876"/>
    <w:rsid w:val="003A0AD2"/>
    <w:rsid w:val="003A4CE6"/>
    <w:rsid w:val="003B3F91"/>
    <w:rsid w:val="003C3151"/>
    <w:rsid w:val="003C3A39"/>
    <w:rsid w:val="003C7616"/>
    <w:rsid w:val="003F107B"/>
    <w:rsid w:val="003F24D3"/>
    <w:rsid w:val="004012F1"/>
    <w:rsid w:val="00401C03"/>
    <w:rsid w:val="00433C29"/>
    <w:rsid w:val="00441181"/>
    <w:rsid w:val="00442BEC"/>
    <w:rsid w:val="00457930"/>
    <w:rsid w:val="004600E9"/>
    <w:rsid w:val="004A14DE"/>
    <w:rsid w:val="004A35C2"/>
    <w:rsid w:val="004C024C"/>
    <w:rsid w:val="004D69A5"/>
    <w:rsid w:val="004F3E41"/>
    <w:rsid w:val="004F51F4"/>
    <w:rsid w:val="005013BE"/>
    <w:rsid w:val="0051144D"/>
    <w:rsid w:val="0051742A"/>
    <w:rsid w:val="00522E48"/>
    <w:rsid w:val="00526F00"/>
    <w:rsid w:val="005739BD"/>
    <w:rsid w:val="00576C30"/>
    <w:rsid w:val="0058046C"/>
    <w:rsid w:val="005C778B"/>
    <w:rsid w:val="005E6200"/>
    <w:rsid w:val="005F0B37"/>
    <w:rsid w:val="005F6A9B"/>
    <w:rsid w:val="00600663"/>
    <w:rsid w:val="00602B52"/>
    <w:rsid w:val="00603F4E"/>
    <w:rsid w:val="00616B67"/>
    <w:rsid w:val="006215B8"/>
    <w:rsid w:val="00621DE5"/>
    <w:rsid w:val="00630AC5"/>
    <w:rsid w:val="006318BD"/>
    <w:rsid w:val="00640106"/>
    <w:rsid w:val="00647DEC"/>
    <w:rsid w:val="00665D16"/>
    <w:rsid w:val="006A5703"/>
    <w:rsid w:val="006B198B"/>
    <w:rsid w:val="006C6262"/>
    <w:rsid w:val="006D4C4B"/>
    <w:rsid w:val="006D77F1"/>
    <w:rsid w:val="006F33E6"/>
    <w:rsid w:val="006F58E7"/>
    <w:rsid w:val="007037E5"/>
    <w:rsid w:val="007205AB"/>
    <w:rsid w:val="00720864"/>
    <w:rsid w:val="00730310"/>
    <w:rsid w:val="00733CA8"/>
    <w:rsid w:val="00755886"/>
    <w:rsid w:val="00760090"/>
    <w:rsid w:val="00761CBD"/>
    <w:rsid w:val="00766AEA"/>
    <w:rsid w:val="00787185"/>
    <w:rsid w:val="007958C8"/>
    <w:rsid w:val="007A2151"/>
    <w:rsid w:val="007A25CD"/>
    <w:rsid w:val="007B09FA"/>
    <w:rsid w:val="007C64F3"/>
    <w:rsid w:val="007C762F"/>
    <w:rsid w:val="007D2AA0"/>
    <w:rsid w:val="007D4FB5"/>
    <w:rsid w:val="007E1E11"/>
    <w:rsid w:val="007E5B22"/>
    <w:rsid w:val="008025D8"/>
    <w:rsid w:val="00802892"/>
    <w:rsid w:val="0081539F"/>
    <w:rsid w:val="00823E68"/>
    <w:rsid w:val="00824FEB"/>
    <w:rsid w:val="00826F04"/>
    <w:rsid w:val="0083140E"/>
    <w:rsid w:val="0084198C"/>
    <w:rsid w:val="0085415B"/>
    <w:rsid w:val="008555B2"/>
    <w:rsid w:val="00862B03"/>
    <w:rsid w:val="0086741A"/>
    <w:rsid w:val="00887A13"/>
    <w:rsid w:val="008A0F80"/>
    <w:rsid w:val="008A6C04"/>
    <w:rsid w:val="008D61D3"/>
    <w:rsid w:val="008F28C9"/>
    <w:rsid w:val="00902014"/>
    <w:rsid w:val="00914068"/>
    <w:rsid w:val="00915BBE"/>
    <w:rsid w:val="00934A80"/>
    <w:rsid w:val="00936C90"/>
    <w:rsid w:val="00937BE6"/>
    <w:rsid w:val="00951215"/>
    <w:rsid w:val="00957B6E"/>
    <w:rsid w:val="009611A6"/>
    <w:rsid w:val="009636E5"/>
    <w:rsid w:val="009657B5"/>
    <w:rsid w:val="009759E5"/>
    <w:rsid w:val="00976FFE"/>
    <w:rsid w:val="00985EB3"/>
    <w:rsid w:val="00991084"/>
    <w:rsid w:val="009A19ED"/>
    <w:rsid w:val="009C798B"/>
    <w:rsid w:val="009D4757"/>
    <w:rsid w:val="009E32DF"/>
    <w:rsid w:val="009E3444"/>
    <w:rsid w:val="009E5D3D"/>
    <w:rsid w:val="009F2705"/>
    <w:rsid w:val="00A01CBF"/>
    <w:rsid w:val="00A136BE"/>
    <w:rsid w:val="00A26E8B"/>
    <w:rsid w:val="00A30BF4"/>
    <w:rsid w:val="00A50983"/>
    <w:rsid w:val="00A51350"/>
    <w:rsid w:val="00A618DA"/>
    <w:rsid w:val="00A66E9E"/>
    <w:rsid w:val="00A73560"/>
    <w:rsid w:val="00A81DFD"/>
    <w:rsid w:val="00AB16A9"/>
    <w:rsid w:val="00AC6D43"/>
    <w:rsid w:val="00AD2CD6"/>
    <w:rsid w:val="00AD39E0"/>
    <w:rsid w:val="00AE26E0"/>
    <w:rsid w:val="00AE50AE"/>
    <w:rsid w:val="00AF0275"/>
    <w:rsid w:val="00B044D1"/>
    <w:rsid w:val="00B04839"/>
    <w:rsid w:val="00B1747C"/>
    <w:rsid w:val="00B265FB"/>
    <w:rsid w:val="00B411B3"/>
    <w:rsid w:val="00B41686"/>
    <w:rsid w:val="00B70040"/>
    <w:rsid w:val="00B82523"/>
    <w:rsid w:val="00B906B8"/>
    <w:rsid w:val="00BA3528"/>
    <w:rsid w:val="00BD3ABF"/>
    <w:rsid w:val="00BE4AC8"/>
    <w:rsid w:val="00C05909"/>
    <w:rsid w:val="00C05D5D"/>
    <w:rsid w:val="00C10910"/>
    <w:rsid w:val="00C21F36"/>
    <w:rsid w:val="00C22FE3"/>
    <w:rsid w:val="00C257DB"/>
    <w:rsid w:val="00C41BAD"/>
    <w:rsid w:val="00C471C2"/>
    <w:rsid w:val="00C80AC3"/>
    <w:rsid w:val="00CA0633"/>
    <w:rsid w:val="00CE4FC9"/>
    <w:rsid w:val="00D034E1"/>
    <w:rsid w:val="00D0667A"/>
    <w:rsid w:val="00D06C9E"/>
    <w:rsid w:val="00D174D8"/>
    <w:rsid w:val="00D1750E"/>
    <w:rsid w:val="00D25643"/>
    <w:rsid w:val="00D6357F"/>
    <w:rsid w:val="00D672E1"/>
    <w:rsid w:val="00D73B83"/>
    <w:rsid w:val="00D87072"/>
    <w:rsid w:val="00D90EBA"/>
    <w:rsid w:val="00D96AB6"/>
    <w:rsid w:val="00DB1D6D"/>
    <w:rsid w:val="00DB2C96"/>
    <w:rsid w:val="00DC1992"/>
    <w:rsid w:val="00DC324B"/>
    <w:rsid w:val="00DD2980"/>
    <w:rsid w:val="00DF6602"/>
    <w:rsid w:val="00E01E35"/>
    <w:rsid w:val="00E03C0D"/>
    <w:rsid w:val="00E04971"/>
    <w:rsid w:val="00E04B9A"/>
    <w:rsid w:val="00E1200D"/>
    <w:rsid w:val="00E31F91"/>
    <w:rsid w:val="00E32B13"/>
    <w:rsid w:val="00E4382E"/>
    <w:rsid w:val="00E43946"/>
    <w:rsid w:val="00E45B1C"/>
    <w:rsid w:val="00E506C6"/>
    <w:rsid w:val="00E5309D"/>
    <w:rsid w:val="00E639E5"/>
    <w:rsid w:val="00E90BDD"/>
    <w:rsid w:val="00EB5DCE"/>
    <w:rsid w:val="00EB7972"/>
    <w:rsid w:val="00EC0DAD"/>
    <w:rsid w:val="00EC2B88"/>
    <w:rsid w:val="00EC314A"/>
    <w:rsid w:val="00ED0E02"/>
    <w:rsid w:val="00ED680D"/>
    <w:rsid w:val="00ED73A7"/>
    <w:rsid w:val="00EF1924"/>
    <w:rsid w:val="00EF2BDD"/>
    <w:rsid w:val="00EF72CC"/>
    <w:rsid w:val="00F31D74"/>
    <w:rsid w:val="00F37328"/>
    <w:rsid w:val="00F42378"/>
    <w:rsid w:val="00F616C0"/>
    <w:rsid w:val="00F648A5"/>
    <w:rsid w:val="00F77533"/>
    <w:rsid w:val="00F82AE3"/>
    <w:rsid w:val="00F86B9F"/>
    <w:rsid w:val="00F972C4"/>
    <w:rsid w:val="00FA01A4"/>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tiff"/><Relationship Id="rId5" Type="http://schemas.openxmlformats.org/officeDocument/2006/relationships/comments" Target="comment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12</Pages>
  <Words>3140</Words>
  <Characters>17902</Characters>
  <Application>Microsoft Office Word</Application>
  <DocSecurity>0</DocSecurity>
  <Lines>149</Lines>
  <Paragraphs>41</Paragraphs>
  <ScaleCrop>false</ScaleCrop>
  <Company/>
  <LinksUpToDate>false</LinksUpToDate>
  <CharactersWithSpaces>21001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291</cp:revision>
  <dcterms:created xsi:type="dcterms:W3CDTF">2026-08-30T21:50:00Z</dcterms:created>
  <dcterms:modified xsi:type="dcterms:W3CDTF">2026-09-12T14:30:00Z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