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34"/>
          <w:szCs w:val="34"/>
        </w:rPr>
        <w:t xml:space="preserve">Wildfire risk in NC peatlands and the effect of restoration on burned area</w:t>
      </w:r>
    </w:p>
    <w:p>
      <w:pPr>
        <w:pBdr>
          <w:bottom w:val="single" w:color="1F4E5F" w:sz="12" w:space="8"/>
        </w:pBdr>
        <w:spacing w:after="200"/>
      </w:pPr>
      <w:r>
        <w:rPr>
          <w:color w:val="5A6B73"/>
          <w:sz w:val="23"/>
          <w:szCs w:val="23"/>
        </w:rPr>
        <w:t xml:space="preserve">Interim project report</w:t>
      </w:r>
    </w:p>
    <w:p>
      <w:pPr>
        <w:spacing w:after="60" w:line="276"/>
      </w:pPr>
      <w:r>
        <w:rPr>
          <w:b/>
          <w:bCs/>
          <w:sz w:val="20"/>
          <w:szCs w:val="20"/>
        </w:rPr>
        <w:t xml:space="preserve">Jim Zhang</w:t>
      </w:r>
      <w:r>
        <w:rPr>
          <w:sz w:val="20"/>
          <w:szCs w:val="20"/>
        </w:rPr>
        <w:t xml:space="preserve">  ·  Duke University / TNC North Carolina Chapter  ·  September 2026</w:t>
      </w:r>
    </w:p>
    <w:p>
      <w:pPr>
        <w:spacing w:after="280" w:line="276"/>
      </w:pPr>
      <w:r>
        <w:rPr>
          <w:b/>
          <w:bCs/>
          <w:sz w:val="19"/>
          <w:szCs w:val="19"/>
        </w:rPr>
        <w:t xml:space="preserve">Full methodological detail: </w:t>
      </w:r>
      <w:r>
        <w:rPr>
          <w:sz w:val="19"/>
          <w:szCs w:val="19"/>
        </w:rPr>
        <w:t xml:space="preserve">methods.md.  Data: data_inventory.csv.  Product comparison: fire_product_comparison.xlsx.  Code: notebooks/modeling.ipynb.</w:t>
      </w:r>
    </w:p>
    <w:p>
      <w:pPr>
        <w:pStyle w:val="Heading1"/>
        <w:pBdr>
          <w:bottom w:val="single" w:color="C7CFD4" w:sz="6" w:space="6"/>
        </w:pBdr>
        <w:spacing w:after="170" w:before="380"/>
      </w:pPr>
      <w:r>
        <w:rPr>
          <w:b/>
          <w:bCs/>
          <w:color w:val="1F4E5F"/>
          <w:sz w:val="30"/>
          <w:szCs w:val="30"/>
        </w:rPr>
        <w:t xml:space="preserve">1.  Summary</w:t>
      </w:r>
    </w:p>
    <w:p>
      <w:pPr>
        <w:spacing w:after="140" w:line="276"/>
      </w:pPr>
      <w:r>
        <w:rPr>
          <w:sz w:val="21"/>
          <w:szCs w:val="21"/>
        </w:rPr>
        <w:t xml:space="preserve">This covers two questions: which satellite fire products can credibly measure fire in North Carolina peatlands, and whether restoration by re-wetting reduces how much of a restored peatland burns. In short:</w:t>
      </w:r>
    </w:p>
    <w:p>
      <w:pPr>
        <w:pStyle w:val="ListParagraph"/>
        <w:numPr>
          <w:ilvl w:val="0"/>
          <w:numId w:val="2"/>
        </w:numPr>
        <w:spacing w:after="80" w:line="276"/>
      </w:pPr>
      <w:r>
        <w:rPr>
          <w:b/>
          <w:bCs/>
          <w:sz w:val="21"/>
          <w:szCs w:val="21"/>
        </w:rPr>
        <w:t xml:space="preserve">Use FireCCI S3.1.1 for burned area. </w:t>
      </w:r>
      <w:r>
        <w:rPr>
          <w:sz w:val="21"/>
          <w:szCs w:val="21"/>
        </w:rPr>
        <w:t xml:space="preserve">It is the only product that detects small fires at a useful rate (pooled recall 0.52 against TNC Coastal Plain burns, versus 0.28 for the next best) while staying competitive on large fires (0.72 versus 0.77 for MODIS). VIIRS Active Fire remains the choice for fire occurrence.</w:t>
      </w:r>
    </w:p>
    <w:p>
      <w:pPr>
        <w:pStyle w:val="ListParagraph"/>
        <w:numPr>
          <w:ilvl w:val="0"/>
          <w:numId w:val="2"/>
        </w:numPr>
        <w:spacing w:after="80" w:line="276"/>
      </w:pPr>
      <w:r>
        <w:rPr>
          <w:b/>
          <w:bCs/>
          <w:sz w:val="21"/>
          <w:szCs w:val="21"/>
        </w:rPr>
        <w:t xml:space="preserve">Burn severity is not measurable here. </w:t>
      </w:r>
      <w:r>
        <w:rPr>
          <w:sz w:val="21"/>
          <w:szCs w:val="21"/>
        </w:rPr>
        <w:t xml:space="preserve">MTBS, SE FireMap and MOSEV are all far too sparse over NC peat (Fig. 4). No severity analysis was possible.</w:t>
      </w:r>
    </w:p>
    <w:p>
      <w:pPr>
        <w:pStyle w:val="ListParagraph"/>
        <w:numPr>
          <w:ilvl w:val="0"/>
          <w:numId w:val="2"/>
        </w:numPr>
        <w:spacing w:after="80" w:line="276"/>
      </w:pPr>
      <w:r>
        <w:rPr>
          <w:b/>
          <w:bCs/>
          <w:sz w:val="21"/>
          <w:szCs w:val="21"/>
        </w:rPr>
        <w:t xml:space="preserve">The models had to use MODIS instead. </w:t>
      </w:r>
      <w:r>
        <w:rPr>
          <w:sz w:val="21"/>
          <w:szCs w:val="21"/>
        </w:rPr>
        <w:t xml:space="preserve">FireCCI S3.1.1 starts in 2019, the same year three of the six restoration sites were completed, so it gives those sites no pre-treatment data. MODIS MCD64A1 (2001–2026) supports all four cohorts and is behind every modelling result below.</w:t>
      </w:r>
    </w:p>
    <w:p>
      <w:pPr>
        <w:pStyle w:val="ListParagraph"/>
        <w:numPr>
          <w:ilvl w:val="0"/>
          <w:numId w:val="2"/>
        </w:numPr>
        <w:spacing w:after="80" w:line="276"/>
      </w:pPr>
      <w:r>
        <w:rPr>
          <w:b/>
          <w:bCs/>
          <w:sz w:val="21"/>
          <w:szCs w:val="21"/>
        </w:rPr>
        <w:t xml:space="preserve">The restoration effect is inconclusive. </w:t>
      </w:r>
      <w:r>
        <w:rPr>
          <w:sz w:val="21"/>
          <w:szCs w:val="21"/>
        </w:rPr>
        <w:t xml:space="preserve">The difference-in-differences estimate is +0.0069 change in annual burn probability (SE 0.0093; 95% band −0.0074 to +0.0213) — indistinguishable from zero. The matched logistic model agrees (odds ratio on treatment 1.48, 95% CI 0.47–4.68).</w:t>
      </w:r>
    </w:p>
    <w:p>
      <w:pPr>
        <w:pStyle w:val="ListParagraph"/>
        <w:numPr>
          <w:ilvl w:val="0"/>
          <w:numId w:val="2"/>
        </w:numPr>
        <w:spacing w:after="80" w:line="276"/>
      </w:pPr>
      <w:r>
        <w:rPr>
          <w:b/>
          <w:bCs/>
          <w:sz w:val="21"/>
          <w:szCs w:val="21"/>
        </w:rPr>
        <w:t xml:space="preserve">That is a design limit, not an analysis problem. </w:t>
      </w:r>
      <w:r>
        <w:rPr>
          <w:sz w:val="21"/>
          <w:szCs w:val="21"/>
        </w:rPr>
        <w:t xml:space="preserve">Six sites, and only two of them have any post-restoration fire at all; 124 of the 126 post-restoration burned pixel-years are at a single site. The parallel-trends assumption also fails visibly (Fig. 6).</w:t>
      </w:r>
    </w:p>
    <w:p>
      <w:pPr>
        <w:pStyle w:val="ListParagraph"/>
        <w:numPr>
          <w:ilvl w:val="0"/>
          <w:numId w:val="2"/>
        </w:numPr>
        <w:spacing w:after="80" w:line="276"/>
      </w:pPr>
      <w:r>
        <w:rPr>
          <w:b/>
          <w:bCs/>
          <w:sz w:val="21"/>
          <w:szCs w:val="21"/>
        </w:rPr>
        <w:t xml:space="preserve">Elevation is the one clear predictor of fire. </w:t>
      </w:r>
      <w:r>
        <w:rPr>
          <w:sz w:val="21"/>
          <w:szCs w:val="21"/>
        </w:rPr>
        <w:t xml:space="preserve">Odds ratio 0.17 per standard deviation (95% CI 0.04–0.65, p = 0.010): lower-lying peat burns more. Drought points the right way (scPDSI odds ratio 0.63 per SD) but is not significant at p = 0.14. Restoration status is not predictive.</w:t>
      </w:r>
    </w:p>
    <w:p>
      <w:pPr>
        <w:pBdr>
          <w:left w:val="single" w:color="1F4E5F" w:sz="12" w:space="10"/>
        </w:pBdr>
        <w:spacing w:after="180" w:before="120" w:line="264"/>
        <w:ind w:left="220"/>
      </w:pPr>
      <w:r>
        <w:rPr>
          <w:i/>
          <w:iCs/>
          <w:color w:val="33444C"/>
          <w:sz w:val="20"/>
          <w:szCs w:val="20"/>
        </w:rPr>
        <w:t xml:space="preserve">For planning: the product recommendation is ready to use. The restoration result should be reported as a quantified sensitivity — "this design could not have detected an effect of plausible size" — rather than as a null. Running the power analysis (§6.1) is what makes that statement, and it needs no new data.</w:t>
      </w:r>
    </w:p>
    <w:p>
      <w:pPr>
        <w:pStyle w:val="Heading1"/>
        <w:pBdr>
          <w:bottom w:val="single" w:color="C7CFD4" w:sz="6" w:space="6"/>
        </w:pBdr>
        <w:spacing w:after="170" w:before="380"/>
      </w:pPr>
      <w:r>
        <w:rPr>
          <w:b/>
          <w:bCs/>
          <w:color w:val="1F4E5F"/>
          <w:sz w:val="30"/>
          <w:szCs w:val="30"/>
        </w:rPr>
        <w:t xml:space="preserve">2.  What was done</w:t>
      </w:r>
    </w:p>
    <w:p>
      <w:pPr>
        <w:spacing w:after="140" w:line="276"/>
      </w:pPr>
      <w:r>
        <w:rPr>
          <w:sz w:val="21"/>
          <w:szCs w:val="21"/>
        </w:rPr>
        <w:t xml:space="preserve">The analysis frame is the NC Coastal Plain peatland extent, restricted to cells mapped as at least 80% major-component histosol in gSSURGO (Fig. 1). Every layer — fire products, treatment polygons, covariates — is warped onto one shared EPSG:5070 grid at 300 m, so areas are meaningful, buffers are metric, and no product is privileged by its native resolution.</w:t>
      </w:r>
    </w:p>
    <w:p>
      <w:pPr>
        <w:spacing w:after="60" w:before="180"/>
        <w:jc w:val="center"/>
      </w:pPr>
      <w:r>
        <w:drawing>
          <wp:inline distT="0" distB="0" distL="0" distR="0">
            <wp:extent cx="3810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038350"/>
                    </a:xfrm>
                    <a:prstGeom prst="rect">
                      <a:avLst/>
                    </a:prstGeom>
                  </pic:spPr>
                </pic:pic>
              </a:graphicData>
            </a:graphic>
          </wp:inline>
        </w:drawing>
      </w:r>
    </w:p>
    <w:p>
      <w:pPr>
        <w:spacing w:after="240" w:line="240"/>
        <w:jc w:val="left"/>
      </w:pPr>
      <w:r>
        <w:rPr>
          <w:b/>
          <w:bCs/>
          <w:sz w:val="18"/>
          <w:szCs w:val="18"/>
        </w:rPr>
        <w:t xml:space="preserve">Figure 1.</w:t>
      </w:r>
      <w:r>
        <w:rPr>
          <w:i/>
          <w:iCs/>
          <w:sz w:val="18"/>
          <w:szCs w:val="18"/>
        </w:rPr>
        <w:t xml:space="preserve"> The analysis frame: gSSURGO cells with ≥ 80% major-component histosol, in red. Peat is concentrated in the northeastern Coastal Plain.</w:t>
      </w:r>
    </w:p>
    <w:p>
      <w:pPr>
        <w:spacing w:after="140" w:line="276"/>
      </w:pPr>
      <w:r>
        <w:rPr>
          <w:sz w:val="21"/>
          <w:szCs w:val="21"/>
        </w:rPr>
        <w:t xml:space="preserve">Treatment is membership in a completed TNC restoration polygon, dated from the completion year rather than the start year, since completion is when the site is actually re-wetted. Pre-completion site-years are kept as not-yet-treated controls. Controls are drawn from peat pixels outside every restoration polygon, with no spillover buffer, on TNC's assessment that these projects do not spill hydrologically. Six completed sites fall in the frame, in four cohorts, covering 1,307 pixels or roughly 11,800 ha (Fig. 2, Table 1).</w:t>
      </w:r>
    </w:p>
    <w:p>
      <w:pPr>
        <w:spacing w:after="60" w:before="180"/>
        <w:jc w:val="center"/>
      </w:pPr>
      <w:r>
        <w:drawing>
          <wp:inline distT="0" distB="0" distL="0" distR="0">
            <wp:extent cx="5524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1905000"/>
                    </a:xfrm>
                    <a:prstGeom prst="rect">
                      <a:avLst/>
                    </a:prstGeom>
                  </pic:spPr>
                </pic:pic>
              </a:graphicData>
            </a:graphic>
          </wp:inline>
        </w:drawing>
      </w:r>
    </w:p>
    <w:p>
      <w:pPr>
        <w:spacing w:after="240" w:line="240"/>
        <w:jc w:val="left"/>
      </w:pPr>
      <w:r>
        <w:rPr>
          <w:b/>
          <w:bCs/>
          <w:sz w:val="18"/>
          <w:szCs w:val="18"/>
        </w:rPr>
        <w:t xml:space="preserve">Figure 2.</w:t>
      </w:r>
      <w:r>
        <w:rPr>
          <w:i/>
          <w:iCs/>
          <w:sz w:val="18"/>
          <w:szCs w:val="18"/>
        </w:rPr>
        <w:t xml:space="preserve"> The six completed TNC restoration sites, each marked with a red star and labelled with its completion year.</w:t>
      </w:r>
    </w:p>
    <w:tbl>
      <w:tblPr>
        <w:tblW w:type="dxa" w:w="9360"/>
        <w:tblBorders>
          <w:top w:val="single" w:color="C7CFD4" w:sz="4"/>
          <w:left w:val="none" w:color="FFFFFF" w:sz="0"/>
          <w:bottom w:val="single" w:color="C7CFD4" w:sz="4"/>
          <w:right w:val="none" w:color="FFFFFF" w:sz="0"/>
          <w:insideH w:val="single" w:color="C7CFD4" w:sz="2"/>
          <w:insideV w:val="none" w:color="FFFFFF" w:sz="0"/>
        </w:tblBorders>
      </w:tblPr>
      <w:tblGrid>
        <w:gridCol w:w="3200"/>
        <w:gridCol w:w="1360"/>
        <w:gridCol w:w="2400"/>
        <w:gridCol w:w="2400"/>
      </w:tblGrid>
      <w:tr>
        <w:trPr>
          <w:cantSplit/>
          <w:tblHeader/>
        </w:trPr>
        <w:tc>
          <w:tcPr>
            <w:tcW w:type="dxa" w:w="3200"/>
            <w:shd w:fill="EDF2F4" w:color="auto" w:val="clear"/>
            <w:tcMar>
              <w:top w:type="dxa" w:w="70"/>
              <w:left w:type="dxa" w:w="110"/>
              <w:bottom w:type="dxa" w:w="70"/>
              <w:right w:type="dxa" w:w="110"/>
            </w:tcMar>
          </w:tcPr>
          <w:p>
            <w:pPr>
              <w:spacing w:after="0" w:line="252"/>
            </w:pPr>
            <w:r>
              <w:rPr>
                <w:b/>
                <w:bCs/>
                <w:sz w:val="18"/>
                <w:szCs w:val="18"/>
              </w:rPr>
              <w:t xml:space="preserve">Site</w:t>
            </w:r>
          </w:p>
        </w:tc>
        <w:tc>
          <w:tcPr>
            <w:tcW w:type="dxa" w:w="1360"/>
            <w:shd w:fill="EDF2F4" w:color="auto" w:val="clear"/>
            <w:tcMar>
              <w:top w:type="dxa" w:w="70"/>
              <w:left w:type="dxa" w:w="110"/>
              <w:bottom w:type="dxa" w:w="70"/>
              <w:right w:type="dxa" w:w="110"/>
            </w:tcMar>
          </w:tcPr>
          <w:p>
            <w:pPr>
              <w:spacing w:after="0" w:line="252"/>
              <w:jc w:val="center"/>
            </w:pPr>
            <w:r>
              <w:rPr>
                <w:b/>
                <w:bCs/>
                <w:sz w:val="18"/>
                <w:szCs w:val="18"/>
              </w:rPr>
              <w:t xml:space="preserve">Completed</w:t>
            </w:r>
          </w:p>
        </w:tc>
        <w:tc>
          <w:tcPr>
            <w:tcW w:type="dxa" w:w="2400"/>
            <w:shd w:fill="EDF2F4" w:color="auto" w:val="clear"/>
            <w:tcMar>
              <w:top w:type="dxa" w:w="70"/>
              <w:left w:type="dxa" w:w="110"/>
              <w:bottom w:type="dxa" w:w="70"/>
              <w:right w:type="dxa" w:w="110"/>
            </w:tcMar>
          </w:tcPr>
          <w:p>
            <w:pPr>
              <w:spacing w:after="0" w:line="252"/>
              <w:jc w:val="center"/>
            </w:pPr>
            <w:r>
              <w:rPr>
                <w:b/>
                <w:bCs/>
                <w:sz w:val="18"/>
                <w:szCs w:val="18"/>
              </w:rPr>
              <w:t xml:space="preserve">Burned pixel-years, pre</w:t>
            </w:r>
          </w:p>
        </w:tc>
        <w:tc>
          <w:tcPr>
            <w:tcW w:type="dxa" w:w="2400"/>
            <w:shd w:fill="EDF2F4" w:color="auto" w:val="clear"/>
            <w:tcMar>
              <w:top w:type="dxa" w:w="70"/>
              <w:left w:type="dxa" w:w="110"/>
              <w:bottom w:type="dxa" w:w="70"/>
              <w:right w:type="dxa" w:w="110"/>
            </w:tcMar>
          </w:tcPr>
          <w:p>
            <w:pPr>
              <w:spacing w:after="0" w:line="252"/>
              <w:jc w:val="center"/>
            </w:pPr>
            <w:r>
              <w:rPr>
                <w:b/>
                <w:bCs/>
                <w:sz w:val="18"/>
                <w:szCs w:val="18"/>
              </w:rPr>
              <w:t xml:space="preserve">Burned pixel-years, post</w:t>
            </w:r>
          </w:p>
        </w:tc>
      </w:tr>
      <w:tr>
        <w:trPr>
          <w:cantSplit/>
        </w:trPr>
        <w:tc>
          <w:tcPr>
            <w:tcW w:type="dxa" w:w="3200"/>
            <w:tcMar>
              <w:top w:type="dxa" w:w="70"/>
              <w:left w:type="dxa" w:w="110"/>
              <w:bottom w:type="dxa" w:w="70"/>
              <w:right w:type="dxa" w:w="110"/>
            </w:tcMar>
          </w:tcPr>
          <w:p>
            <w:pPr>
              <w:spacing w:after="0" w:line="252"/>
            </w:pPr>
            <w:r>
              <w:rPr>
                <w:sz w:val="18"/>
                <w:szCs w:val="18"/>
              </w:rPr>
              <w:t xml:space="preserve">Dare Bombing Range WMP</w:t>
            </w:r>
          </w:p>
        </w:tc>
        <w:tc>
          <w:tcPr>
            <w:tcW w:type="dxa" w:w="1360"/>
            <w:tcMar>
              <w:top w:type="dxa" w:w="70"/>
              <w:left w:type="dxa" w:w="110"/>
              <w:bottom w:type="dxa" w:w="70"/>
              <w:right w:type="dxa" w:w="110"/>
            </w:tcMar>
          </w:tcPr>
          <w:p>
            <w:pPr>
              <w:spacing w:after="0" w:line="252"/>
              <w:jc w:val="center"/>
            </w:pPr>
            <w:r>
              <w:rPr>
                <w:sz w:val="18"/>
                <w:szCs w:val="18"/>
              </w:rPr>
              <w:t xml:space="preserve">2019</w:t>
            </w:r>
          </w:p>
        </w:tc>
        <w:tc>
          <w:tcPr>
            <w:tcW w:type="dxa" w:w="2400"/>
            <w:tcMar>
              <w:top w:type="dxa" w:w="70"/>
              <w:left w:type="dxa" w:w="110"/>
              <w:bottom w:type="dxa" w:w="70"/>
              <w:right w:type="dxa" w:w="110"/>
            </w:tcMar>
          </w:tcPr>
          <w:p>
            <w:pPr>
              <w:spacing w:after="0" w:line="252"/>
              <w:jc w:val="center"/>
            </w:pPr>
            <w:r>
              <w:rPr>
                <w:sz w:val="18"/>
                <w:szCs w:val="18"/>
              </w:rPr>
              <w:t xml:space="preserve">357</w:t>
            </w:r>
          </w:p>
        </w:tc>
        <w:tc>
          <w:tcPr>
            <w:tcW w:type="dxa" w:w="2400"/>
            <w:tcMar>
              <w:top w:type="dxa" w:w="70"/>
              <w:left w:type="dxa" w:w="110"/>
              <w:bottom w:type="dxa" w:w="70"/>
              <w:right w:type="dxa" w:w="110"/>
            </w:tcMar>
          </w:tcPr>
          <w:p>
            <w:pPr>
              <w:spacing w:after="0" w:line="252"/>
              <w:jc w:val="center"/>
            </w:pPr>
            <w:r>
              <w:rPr>
                <w:sz w:val="18"/>
                <w:szCs w:val="18"/>
              </w:rPr>
              <w:t xml:space="preserve">124</w:t>
            </w:r>
          </w:p>
        </w:tc>
      </w:tr>
      <w:tr>
        <w:trPr>
          <w:cantSplit/>
        </w:trPr>
        <w:tc>
          <w:tcPr>
            <w:tcW w:type="dxa" w:w="3200"/>
            <w:shd w:fill="F7F9FA" w:color="auto" w:val="clear"/>
            <w:tcMar>
              <w:top w:type="dxa" w:w="70"/>
              <w:left w:type="dxa" w:w="110"/>
              <w:bottom w:type="dxa" w:w="70"/>
              <w:right w:type="dxa" w:w="110"/>
            </w:tcMar>
          </w:tcPr>
          <w:p>
            <w:pPr>
              <w:spacing w:after="0" w:line="252"/>
            </w:pPr>
            <w:r>
              <w:rPr>
                <w:sz w:val="18"/>
                <w:szCs w:val="18"/>
              </w:rPr>
              <w:t xml:space="preserve">ARNWR Restoration East</w:t>
            </w:r>
          </w:p>
        </w:tc>
        <w:tc>
          <w:tcPr>
            <w:tcW w:type="dxa" w:w="1360"/>
            <w:shd w:fill="F7F9FA" w:color="auto" w:val="clear"/>
            <w:tcMar>
              <w:top w:type="dxa" w:w="70"/>
              <w:left w:type="dxa" w:w="110"/>
              <w:bottom w:type="dxa" w:w="70"/>
              <w:right w:type="dxa" w:w="110"/>
            </w:tcMar>
          </w:tcPr>
          <w:p>
            <w:pPr>
              <w:spacing w:after="0" w:line="252"/>
              <w:jc w:val="center"/>
            </w:pPr>
            <w:r>
              <w:rPr>
                <w:sz w:val="18"/>
                <w:szCs w:val="18"/>
              </w:rPr>
              <w:t xml:space="preserve">2019</w:t>
            </w:r>
          </w:p>
        </w:tc>
        <w:tc>
          <w:tcPr>
            <w:tcW w:type="dxa" w:w="2400"/>
            <w:shd w:fill="F7F9FA" w:color="auto" w:val="clear"/>
            <w:tcMar>
              <w:top w:type="dxa" w:w="70"/>
              <w:left w:type="dxa" w:w="110"/>
              <w:bottom w:type="dxa" w:w="70"/>
              <w:right w:type="dxa" w:w="110"/>
            </w:tcMar>
          </w:tcPr>
          <w:p>
            <w:pPr>
              <w:spacing w:after="0" w:line="252"/>
              <w:jc w:val="center"/>
            </w:pPr>
            <w:r>
              <w:rPr>
                <w:sz w:val="18"/>
                <w:szCs w:val="18"/>
              </w:rPr>
              <w:t xml:space="preserve">38</w:t>
            </w:r>
          </w:p>
        </w:tc>
        <w:tc>
          <w:tcPr>
            <w:tcW w:type="dxa" w:w="2400"/>
            <w:shd w:fill="F7F9FA" w:color="auto" w:val="clear"/>
            <w:tcMar>
              <w:top w:type="dxa" w:w="70"/>
              <w:left w:type="dxa" w:w="110"/>
              <w:bottom w:type="dxa" w:w="70"/>
              <w:right w:type="dxa" w:w="110"/>
            </w:tcMar>
          </w:tcPr>
          <w:p>
            <w:pPr>
              <w:spacing w:after="0" w:line="252"/>
              <w:jc w:val="center"/>
            </w:pPr>
            <w:r>
              <w:rPr>
                <w:sz w:val="18"/>
                <w:szCs w:val="18"/>
              </w:rPr>
              <w:t xml:space="preserve">2</w:t>
            </w:r>
          </w:p>
        </w:tc>
      </w:tr>
      <w:tr>
        <w:trPr>
          <w:cantSplit/>
        </w:trPr>
        <w:tc>
          <w:tcPr>
            <w:tcW w:type="dxa" w:w="3200"/>
            <w:tcMar>
              <w:top w:type="dxa" w:w="70"/>
              <w:left w:type="dxa" w:w="110"/>
              <w:bottom w:type="dxa" w:w="70"/>
              <w:right w:type="dxa" w:w="110"/>
            </w:tcMar>
          </w:tcPr>
          <w:p>
            <w:pPr>
              <w:spacing w:after="0" w:line="252"/>
            </w:pPr>
            <w:r>
              <w:rPr>
                <w:sz w:val="18"/>
                <w:szCs w:val="18"/>
              </w:rPr>
              <w:t xml:space="preserve">ARNWR WMP</w:t>
            </w:r>
          </w:p>
        </w:tc>
        <w:tc>
          <w:tcPr>
            <w:tcW w:type="dxa" w:w="1360"/>
            <w:tcMar>
              <w:top w:type="dxa" w:w="70"/>
              <w:left w:type="dxa" w:w="110"/>
              <w:bottom w:type="dxa" w:w="70"/>
              <w:right w:type="dxa" w:w="110"/>
            </w:tcMar>
          </w:tcPr>
          <w:p>
            <w:pPr>
              <w:spacing w:after="0" w:line="252"/>
              <w:jc w:val="center"/>
            </w:pPr>
            <w:r>
              <w:rPr>
                <w:sz w:val="18"/>
                <w:szCs w:val="18"/>
              </w:rPr>
              <w:t xml:space="preserve">2019</w:t>
            </w:r>
          </w:p>
        </w:tc>
        <w:tc>
          <w:tcPr>
            <w:tcW w:type="dxa" w:w="2400"/>
            <w:tcMar>
              <w:top w:type="dxa" w:w="70"/>
              <w:left w:type="dxa" w:w="110"/>
              <w:bottom w:type="dxa" w:w="70"/>
              <w:right w:type="dxa" w:w="110"/>
            </w:tcMar>
          </w:tcPr>
          <w:p>
            <w:pPr>
              <w:spacing w:after="0" w:line="252"/>
              <w:jc w:val="center"/>
            </w:pPr>
            <w:r>
              <w:rPr>
                <w:sz w:val="18"/>
                <w:szCs w:val="18"/>
              </w:rPr>
              <w:t xml:space="preserve">2</w:t>
            </w:r>
          </w:p>
        </w:tc>
        <w:tc>
          <w:tcPr>
            <w:tcW w:type="dxa" w:w="2400"/>
            <w:tcMar>
              <w:top w:type="dxa" w:w="70"/>
              <w:left w:type="dxa" w:w="110"/>
              <w:bottom w:type="dxa" w:w="70"/>
              <w:right w:type="dxa" w:w="110"/>
            </w:tcMar>
          </w:tcPr>
          <w:p>
            <w:pPr>
              <w:spacing w:after="0" w:line="252"/>
              <w:jc w:val="center"/>
            </w:pPr>
            <w:r>
              <w:rPr>
                <w:sz w:val="18"/>
                <w:szCs w:val="18"/>
              </w:rPr>
              <w:t xml:space="preserve">0</w:t>
            </w:r>
          </w:p>
        </w:tc>
      </w:tr>
      <w:tr>
        <w:trPr>
          <w:cantSplit/>
        </w:trPr>
        <w:tc>
          <w:tcPr>
            <w:tcW w:type="dxa" w:w="3200"/>
            <w:shd w:fill="F7F9FA" w:color="auto" w:val="clear"/>
            <w:tcMar>
              <w:top w:type="dxa" w:w="70"/>
              <w:left w:type="dxa" w:w="110"/>
              <w:bottom w:type="dxa" w:w="70"/>
              <w:right w:type="dxa" w:w="110"/>
            </w:tcMar>
          </w:tcPr>
          <w:p>
            <w:pPr>
              <w:spacing w:after="0" w:line="252"/>
            </w:pPr>
            <w:r>
              <w:rPr>
                <w:sz w:val="18"/>
                <w:szCs w:val="18"/>
              </w:rPr>
              <w:t xml:space="preserve">PLNWR Flood Resilience</w:t>
            </w:r>
          </w:p>
        </w:tc>
        <w:tc>
          <w:tcPr>
            <w:tcW w:type="dxa" w:w="1360"/>
            <w:shd w:fill="F7F9FA" w:color="auto" w:val="clear"/>
            <w:tcMar>
              <w:top w:type="dxa" w:w="70"/>
              <w:left w:type="dxa" w:w="110"/>
              <w:bottom w:type="dxa" w:w="70"/>
              <w:right w:type="dxa" w:w="110"/>
            </w:tcMar>
          </w:tcPr>
          <w:p>
            <w:pPr>
              <w:spacing w:after="0" w:line="252"/>
              <w:jc w:val="center"/>
            </w:pPr>
            <w:r>
              <w:rPr>
                <w:sz w:val="18"/>
                <w:szCs w:val="18"/>
              </w:rPr>
              <w:t xml:space="preserve">2021</w:t>
            </w:r>
          </w:p>
        </w:tc>
        <w:tc>
          <w:tcPr>
            <w:tcW w:type="dxa" w:w="2400"/>
            <w:shd w:fill="F7F9FA" w:color="auto" w:val="clear"/>
            <w:tcMar>
              <w:top w:type="dxa" w:w="70"/>
              <w:left w:type="dxa" w:w="110"/>
              <w:bottom w:type="dxa" w:w="70"/>
              <w:right w:type="dxa" w:w="110"/>
            </w:tcMar>
          </w:tcPr>
          <w:p>
            <w:pPr>
              <w:spacing w:after="0" w:line="252"/>
              <w:jc w:val="center"/>
            </w:pPr>
            <w:r>
              <w:rPr>
                <w:sz w:val="18"/>
                <w:szCs w:val="18"/>
              </w:rPr>
              <w:t xml:space="preserve">12</w:t>
            </w:r>
          </w:p>
        </w:tc>
        <w:tc>
          <w:tcPr>
            <w:tcW w:type="dxa" w:w="2400"/>
            <w:shd w:fill="F7F9FA" w:color="auto" w:val="clear"/>
            <w:tcMar>
              <w:top w:type="dxa" w:w="70"/>
              <w:left w:type="dxa" w:w="110"/>
              <w:bottom w:type="dxa" w:w="70"/>
              <w:right w:type="dxa" w:w="110"/>
            </w:tcMar>
          </w:tcPr>
          <w:p>
            <w:pPr>
              <w:spacing w:after="0" w:line="252"/>
              <w:jc w:val="center"/>
            </w:pPr>
            <w:r>
              <w:rPr>
                <w:sz w:val="18"/>
                <w:szCs w:val="18"/>
              </w:rPr>
              <w:t xml:space="preserve">0</w:t>
            </w:r>
          </w:p>
        </w:tc>
      </w:tr>
      <w:tr>
        <w:trPr>
          <w:cantSplit/>
        </w:trPr>
        <w:tc>
          <w:tcPr>
            <w:tcW w:type="dxa" w:w="3200"/>
            <w:tcMar>
              <w:top w:type="dxa" w:w="70"/>
              <w:left w:type="dxa" w:w="110"/>
              <w:bottom w:type="dxa" w:w="70"/>
              <w:right w:type="dxa" w:w="110"/>
            </w:tcMar>
          </w:tcPr>
          <w:p>
            <w:pPr>
              <w:spacing w:after="0" w:line="252"/>
            </w:pPr>
            <w:r>
              <w:rPr>
                <w:sz w:val="18"/>
                <w:szCs w:val="18"/>
              </w:rPr>
              <w:t xml:space="preserve">GDSNWR Pasquotank Headwaters</w:t>
            </w:r>
          </w:p>
        </w:tc>
        <w:tc>
          <w:tcPr>
            <w:tcW w:type="dxa" w:w="1360"/>
            <w:tcMar>
              <w:top w:type="dxa" w:w="70"/>
              <w:left w:type="dxa" w:w="110"/>
              <w:bottom w:type="dxa" w:w="70"/>
              <w:right w:type="dxa" w:w="110"/>
            </w:tcMar>
          </w:tcPr>
          <w:p>
            <w:pPr>
              <w:spacing w:after="0" w:line="252"/>
              <w:jc w:val="center"/>
            </w:pPr>
            <w:r>
              <w:rPr>
                <w:sz w:val="18"/>
                <w:szCs w:val="18"/>
              </w:rPr>
              <w:t xml:space="preserve">2023</w:t>
            </w:r>
          </w:p>
        </w:tc>
        <w:tc>
          <w:tcPr>
            <w:tcW w:type="dxa" w:w="2400"/>
            <w:tcMar>
              <w:top w:type="dxa" w:w="70"/>
              <w:left w:type="dxa" w:w="110"/>
              <w:bottom w:type="dxa" w:w="70"/>
              <w:right w:type="dxa" w:w="110"/>
            </w:tcMar>
          </w:tcPr>
          <w:p>
            <w:pPr>
              <w:spacing w:after="0" w:line="252"/>
              <w:jc w:val="center"/>
            </w:pPr>
            <w:r>
              <w:rPr>
                <w:sz w:val="18"/>
                <w:szCs w:val="18"/>
              </w:rPr>
              <w:t xml:space="preserve">0</w:t>
            </w:r>
          </w:p>
        </w:tc>
        <w:tc>
          <w:tcPr>
            <w:tcW w:type="dxa" w:w="2400"/>
            <w:tcMar>
              <w:top w:type="dxa" w:w="70"/>
              <w:left w:type="dxa" w:w="110"/>
              <w:bottom w:type="dxa" w:w="70"/>
              <w:right w:type="dxa" w:w="110"/>
            </w:tcMar>
          </w:tcPr>
          <w:p>
            <w:pPr>
              <w:spacing w:after="0" w:line="252"/>
              <w:jc w:val="center"/>
            </w:pPr>
            <w:r>
              <w:rPr>
                <w:sz w:val="18"/>
                <w:szCs w:val="18"/>
              </w:rPr>
              <w:t xml:space="preserve">0</w:t>
            </w:r>
          </w:p>
        </w:tc>
      </w:tr>
      <w:tr>
        <w:trPr>
          <w:cantSplit/>
        </w:trPr>
        <w:tc>
          <w:tcPr>
            <w:tcW w:type="dxa" w:w="3200"/>
            <w:shd w:fill="F7F9FA" w:color="auto" w:val="clear"/>
            <w:tcMar>
              <w:top w:type="dxa" w:w="70"/>
              <w:left w:type="dxa" w:w="110"/>
              <w:bottom w:type="dxa" w:w="70"/>
              <w:right w:type="dxa" w:w="110"/>
            </w:tcMar>
          </w:tcPr>
          <w:p>
            <w:pPr>
              <w:spacing w:after="0" w:line="252"/>
            </w:pPr>
            <w:r>
              <w:rPr>
                <w:sz w:val="18"/>
                <w:szCs w:val="18"/>
              </w:rPr>
              <w:t xml:space="preserve">Angola Bay Restoration Area</w:t>
            </w:r>
          </w:p>
        </w:tc>
        <w:tc>
          <w:tcPr>
            <w:tcW w:type="dxa" w:w="1360"/>
            <w:shd w:fill="F7F9FA" w:color="auto" w:val="clear"/>
            <w:tcMar>
              <w:top w:type="dxa" w:w="70"/>
              <w:left w:type="dxa" w:w="110"/>
              <w:bottom w:type="dxa" w:w="70"/>
              <w:right w:type="dxa" w:w="110"/>
            </w:tcMar>
          </w:tcPr>
          <w:p>
            <w:pPr>
              <w:spacing w:after="0" w:line="252"/>
              <w:jc w:val="center"/>
            </w:pPr>
            <w:r>
              <w:rPr>
                <w:sz w:val="18"/>
                <w:szCs w:val="18"/>
              </w:rPr>
              <w:t xml:space="preserve">2026</w:t>
            </w:r>
          </w:p>
        </w:tc>
        <w:tc>
          <w:tcPr>
            <w:tcW w:type="dxa" w:w="2400"/>
            <w:shd w:fill="F7F9FA" w:color="auto" w:val="clear"/>
            <w:tcMar>
              <w:top w:type="dxa" w:w="70"/>
              <w:left w:type="dxa" w:w="110"/>
              <w:bottom w:type="dxa" w:w="70"/>
              <w:right w:type="dxa" w:w="110"/>
            </w:tcMar>
          </w:tcPr>
          <w:p>
            <w:pPr>
              <w:spacing w:after="0" w:line="252"/>
              <w:jc w:val="center"/>
            </w:pPr>
            <w:r>
              <w:rPr>
                <w:sz w:val="18"/>
                <w:szCs w:val="18"/>
              </w:rPr>
              <w:t xml:space="preserve">0</w:t>
            </w:r>
          </w:p>
        </w:tc>
        <w:tc>
          <w:tcPr>
            <w:tcW w:type="dxa" w:w="2400"/>
            <w:shd w:fill="F7F9FA" w:color="auto" w:val="clear"/>
            <w:tcMar>
              <w:top w:type="dxa" w:w="70"/>
              <w:left w:type="dxa" w:w="110"/>
              <w:bottom w:type="dxa" w:w="70"/>
              <w:right w:type="dxa" w:w="110"/>
            </w:tcMar>
          </w:tcPr>
          <w:p>
            <w:pPr>
              <w:spacing w:after="0" w:line="252"/>
              <w:jc w:val="center"/>
            </w:pPr>
            <w:r>
              <w:rPr>
                <w:sz w:val="18"/>
                <w:szCs w:val="18"/>
              </w:rPr>
              <w:t xml:space="preserve">0</w:t>
            </w:r>
          </w:p>
        </w:tc>
      </w:tr>
    </w:tbl>
    <w:p>
      <w:pPr>
        <w:spacing w:after="60" w:before="80" w:line="240"/>
      </w:pPr>
      <w:r>
        <w:rPr>
          <w:b/>
          <w:bCs/>
          <w:sz w:val="18"/>
          <w:szCs w:val="18"/>
        </w:rPr>
        <w:t xml:space="preserve">Table 1.</w:t>
      </w:r>
      <w:r>
        <w:rPr>
          <w:i/>
          <w:iCs/>
          <w:sz w:val="18"/>
          <w:szCs w:val="18"/>
        </w:rPr>
        <w:t xml:space="preserve"> Restoration sites and their burned pixel-years in the matched panel. Only two sites record any post-restoration fire, and 124 of the 126 post-restoration burned pixel-years are at one site — which is the central constraint on everything below.</w:t>
      </w:r>
    </w:p>
    <w:p>
      <w:pPr>
        <w:spacing w:after="140"/>
      </w:pPr>
    </w:p>
    <w:p>
      <w:pPr>
        <w:pStyle w:val="Heading2"/>
        <w:spacing w:after="120" w:before="280"/>
      </w:pPr>
      <w:r>
        <w:rPr>
          <w:b/>
          <w:bCs/>
          <w:color w:val="2C3E46"/>
          <w:sz w:val="24"/>
          <w:szCs w:val="24"/>
        </w:rPr>
        <w:t xml:space="preserve">2.1  Fire products</w:t>
      </w:r>
    </w:p>
    <w:p>
      <w:pPr>
        <w:spacing w:after="140" w:line="276"/>
      </w:pPr>
      <w:r>
        <w:rPr>
          <w:sz w:val="21"/>
          <w:szCs w:val="21"/>
        </w:rPr>
        <w:t xml:space="preserve">Products were scored against independent reference perimeters (NIFC IFPH and GeoMAC for large fires, restricted to incidents of at least 100 acres; TNC Coastal Plain fire history for small preserve and prescribed burns). Perimeters were rasterised onto the same 300 m grid and time-matched to each product's annual mask. Recall — the fraction of known burned area a product caught — is the headline metric, since omission is the failure mode that matters for a rare outcome. Precision is reported for reference only, because a perimeter is an outer boundary containing unburned islands rather than an exhaustive census of what burned. Severity products were not scored: perimeters carry no severity attribute and there is no field CBI to score against.</w:t>
      </w:r>
    </w:p>
    <w:p>
      <w:pPr>
        <w:pStyle w:val="Heading2"/>
        <w:spacing w:after="120" w:before="280"/>
      </w:pPr>
      <w:r>
        <w:rPr>
          <w:b/>
          <w:bCs/>
          <w:color w:val="2C3E46"/>
          <w:sz w:val="24"/>
          <w:szCs w:val="24"/>
        </w:rPr>
        <w:t xml:space="preserve">2.2  Models</w:t>
      </w:r>
    </w:p>
    <w:p>
      <w:pPr>
        <w:spacing w:after="140" w:line="276"/>
      </w:pPr>
      <w:r>
        <w:rPr>
          <w:sz w:val="21"/>
          <w:szCs w:val="21"/>
        </w:rPr>
        <w:t xml:space="preserve">Restored pixels are first matched 1:1, without replacement, to unrestored peat pixels using Mahalanobis distance on the covariates, with exact matching on land cover and soil drainage class and a caliper of 1.0 standard deviation; a treated pixel with no acceptable match is dropped rather than paired with a poor twin. Balance is judged by standardised mean difference, with |SMD| &lt; 0.1 as the threshold. The static match achieves a worst-case |SMD| of 0.057; the event-time match used by the DiD reaches 0.131 on drainage.</w:t>
      </w:r>
    </w:p>
    <w:p>
      <w:pPr>
        <w:pStyle w:val="ListParagraph"/>
        <w:numPr>
          <w:ilvl w:val="0"/>
          <w:numId w:val="2"/>
        </w:numPr>
        <w:spacing w:after="80" w:line="276"/>
      </w:pPr>
      <w:r>
        <w:rPr>
          <w:b/>
          <w:bCs/>
          <w:sz w:val="21"/>
          <w:szCs w:val="21"/>
        </w:rPr>
        <w:t xml:space="preserve">Matched logistic regression (levels). </w:t>
      </w:r>
      <w:r>
        <w:rPr>
          <w:sz w:val="21"/>
          <w:szCs w:val="21"/>
        </w:rPr>
        <w:t xml:space="preserve">Asks whether, conditional on covariates, restored pixels are less likely to burn. Identifies the effect under selection on observables, so it is a robustness check rather than the primary model.</w:t>
      </w:r>
    </w:p>
    <w:p>
      <w:pPr>
        <w:pStyle w:val="ListParagraph"/>
        <w:numPr>
          <w:ilvl w:val="0"/>
          <w:numId w:val="2"/>
        </w:numPr>
        <w:spacing w:after="80" w:line="276"/>
      </w:pPr>
      <w:r>
        <w:rPr>
          <w:b/>
          <w:bCs/>
          <w:sz w:val="21"/>
          <w:szCs w:val="21"/>
        </w:rPr>
        <w:t xml:space="preserve">Staggered difference-in-differences (changes, primary). </w:t>
      </w:r>
      <w:r>
        <w:rPr>
          <w:sz w:val="21"/>
          <w:szCs w:val="21"/>
        </w:rPr>
        <w:t xml:space="preserve">Asks whether burning changed at restored sites relative to comparable unrestored sites, which differences out any time-invariant confounder. Because sites were restored in different years, this uses the Callaway–Sant'Anna (2021) group-time estimator with the doubly robust estimator of Sant'Anna &amp; Zhao (2020), rather than a pooled two-way fixed-effects regression, which is biased under staggered adoption. Following Castro et al. (2026), matching and DiD are combined: the panel is restricted to matched pixels, then the estimator is refit.</w:t>
      </w:r>
    </w:p>
    <w:p>
      <w:pPr>
        <w:spacing w:after="140" w:line="276"/>
      </w:pPr>
      <w:r>
        <w:rPr>
          <w:sz w:val="21"/>
          <w:szCs w:val="21"/>
        </w:rPr>
        <w:t xml:space="preserve">All standard errors are clustered on the restoration site. Restoration is assigned to a site, not a pixel — every pixel inside one site shares its canal blocks, water table and every fire that crosses it — so treating pixels as independent is pseudo-replication, and it makes essentially everything look significant. This matters concretely: on the unmatched panel the DiD returns the same point estimate with a standard error 15 times smaller and an interval excluding zero, but 92% of its pixels are singleton clusters, so that interval is effectively pixel-level and is not reported here.</w:t>
      </w:r>
    </w:p>
    <w:p>
      <w:pPr>
        <w:pStyle w:val="Heading1"/>
        <w:pBdr>
          <w:bottom w:val="single" w:color="C7CFD4" w:sz="6" w:space="6"/>
        </w:pBdr>
        <w:spacing w:after="170" w:before="380"/>
      </w:pPr>
      <w:r>
        <w:rPr>
          <w:b/>
          <w:bCs/>
          <w:color w:val="1F4E5F"/>
          <w:sz w:val="30"/>
          <w:szCs w:val="30"/>
        </w:rPr>
        <w:t xml:space="preserve">3.  Results</w:t>
      </w:r>
    </w:p>
    <w:p>
      <w:pPr>
        <w:pStyle w:val="Heading2"/>
        <w:spacing w:after="120" w:before="280"/>
      </w:pPr>
      <w:r>
        <w:rPr>
          <w:b/>
          <w:bCs/>
          <w:color w:val="2C3E46"/>
          <w:sz w:val="24"/>
          <w:szCs w:val="24"/>
        </w:rPr>
        <w:t xml:space="preserve">3.1  Product selection</w:t>
      </w:r>
    </w:p>
    <w:p>
      <w:pPr>
        <w:spacing w:after="140" w:line="276"/>
      </w:pPr>
      <w:r>
        <w:rPr>
          <w:sz w:val="21"/>
          <w:szCs w:val="21"/>
        </w:rPr>
        <w:t xml:space="preserve">Accuracy splits cleanly by fire size, and that split is the whole basis of the recommendation (Fig. 3). On large fires, MODIS MCD64A1 and the FireCCI products are close and all usable — pooled recall against NIFC IFPH is 0.77, 0.74 and 0.72 for MCD64A1, FireCCI 5.1 and FireCCI S3.1.1 respectively. On small fires only FireCCI S3.1.1 performs: against the TNC Coastal Plain burns its pooled recall is 0.52, versus 0.28 for MCD64A1, 0.18 for VIIRS, 0.15 for GABAM and 0.06 for FireCCI 5.1. VIIRS behaves exactly as an occurrence product should, with the highest detection rate everywhere but the lowest area recall: it answers whether a fire happened, not how much burned.</w:t>
      </w:r>
    </w:p>
    <w:p>
      <w:pPr>
        <w:spacing w:after="60" w:before="180"/>
        <w:jc w:val="center"/>
      </w:pPr>
      <w:r>
        <w:drawing>
          <wp:inline distT="0" distB="0" distL="0" distR="0">
            <wp:extent cx="49530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4448175"/>
                    </a:xfrm>
                    <a:prstGeom prst="rect">
                      <a:avLst/>
                    </a:prstGeom>
                  </pic:spPr>
                </pic:pic>
              </a:graphicData>
            </a:graphic>
          </wp:inline>
        </w:drawing>
      </w:r>
    </w:p>
    <w:p>
      <w:pPr>
        <w:spacing w:after="240" w:line="240"/>
        <w:jc w:val="left"/>
      </w:pPr>
      <w:r>
        <w:rPr>
          <w:b/>
          <w:bCs/>
          <w:sz w:val="18"/>
          <w:szCs w:val="18"/>
        </w:rPr>
        <w:t xml:space="preserve">Figure 3.</w:t>
      </w:r>
      <w:r>
        <w:rPr>
          <w:i/>
          <w:iCs/>
          <w:sz w:val="18"/>
          <w:szCs w:val="18"/>
        </w:rPr>
        <w:t xml:space="preserve"> Accuracy against independent reference perimeters. (a) GeoMAC, 2000–2018, fires ≥ 100 acres. (b) NIFC IFPH, fires ≥ 100 acres. (c) TNC Coastal Plain fire history, dominated by small burns. recall_pooled is area-weighted and so reflects large fires; recall_mean_event weights every fire equally and exposes small-fire omission; detection_rate is the fraction of fires seen at all. Higher is better. Precision collapses in panel (c) because a coarse product flags a whole cell for a small burn inside it.</w:t>
      </w:r>
    </w:p>
    <w:p>
      <w:pPr>
        <w:spacing w:after="140" w:line="276"/>
      </w:pPr>
      <w:r>
        <w:rPr>
          <w:sz w:val="21"/>
          <w:szCs w:val="21"/>
        </w:rPr>
        <w:t xml:space="preserve">Severity is a shorter story: all three candidate products are essentially empty over the peat frame (Fig. 4), so severity analysis was dropped. This is a data-availability finding rather than a modelling choice, and worth stating plainly — no currently available remote severity product supports severity work in these peatlands.</w:t>
      </w:r>
    </w:p>
    <w:p>
      <w:pPr>
        <w:spacing w:after="60" w:before="180"/>
        <w:jc w:val="center"/>
      </w:pPr>
      <w:r>
        <w:drawing>
          <wp:inline distT="0" distB="0" distL="0" distR="0">
            <wp:extent cx="5524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1266825"/>
                    </a:xfrm>
                    <a:prstGeom prst="rect">
                      <a:avLst/>
                    </a:prstGeom>
                  </pic:spPr>
                </pic:pic>
              </a:graphicData>
            </a:graphic>
          </wp:inline>
        </w:drawing>
      </w:r>
    </w:p>
    <w:p>
      <w:pPr>
        <w:spacing w:after="240" w:line="240"/>
        <w:jc w:val="left"/>
      </w:pPr>
      <w:r>
        <w:rPr>
          <w:b/>
          <w:bCs/>
          <w:sz w:val="18"/>
          <w:szCs w:val="18"/>
        </w:rPr>
        <w:t xml:space="preserve">Figure 4.</w:t>
      </w:r>
      <w:r>
        <w:rPr>
          <w:i/>
          <w:iCs/>
          <w:sz w:val="18"/>
          <w:szCs w:val="18"/>
        </w:rPr>
        <w:t xml:space="preserve"> Burn severity products over North Carolina for 2017. (a) MTBS. (b) SE FireMap. (c) MOSEV. All three show only scattered pixels statewide; over the peat frame there is effectively nothing to analyse.</w:t>
      </w:r>
    </w:p>
    <w:p>
      <w:pPr>
        <w:pStyle w:val="Heading2"/>
        <w:spacing w:after="120" w:before="280"/>
      </w:pPr>
      <w:r>
        <w:rPr>
          <w:b/>
          <w:bCs/>
          <w:color w:val="2C3E46"/>
          <w:sz w:val="24"/>
          <w:szCs w:val="24"/>
        </w:rPr>
        <w:t xml:space="preserve">3.2  Effect of restoration on burned area</w:t>
      </w:r>
    </w:p>
    <w:p>
      <w:pPr>
        <w:spacing w:after="140" w:line="276"/>
      </w:pPr>
      <w:r>
        <w:rPr>
          <w:sz w:val="21"/>
          <w:szCs w:val="21"/>
        </w:rPr>
        <w:t xml:space="preserve">On the matched frame of 61,750 pixel-years, the raw burn rate is 0.0228 in treated pixels against 0.0168 in controls. The logistic model puts the odds ratio on treatment at 1.48 (95% CI 0.47–4.68, p = 0.50) — no detectable effect, with the point estimate in the opposite direction from the hypothesis. Adding a treatment-by-drought interaction changes nothing material: scPDSI carries the expected protective sign (OR 0.63 per SD, p = 0.139) and the interaction is in the hypothesised direction but far from significant (OR 1.11, p = 0.72).</w:t>
      </w:r>
    </w:p>
    <w:p>
      <w:pPr>
        <w:spacing w:after="60" w:before="180"/>
        <w:jc w:val="center"/>
      </w:pPr>
      <w:r>
        <w:drawing>
          <wp:inline distT="0" distB="0" distL="0" distR="0">
            <wp:extent cx="38100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3609975"/>
                    </a:xfrm>
                    <a:prstGeom prst="rect">
                      <a:avLst/>
                    </a:prstGeom>
                  </pic:spPr>
                </pic:pic>
              </a:graphicData>
            </a:graphic>
          </wp:inline>
        </w:drawing>
      </w:r>
    </w:p>
    <w:p>
      <w:pPr>
        <w:spacing w:after="240" w:line="240"/>
        <w:jc w:val="left"/>
      </w:pPr>
      <w:r>
        <w:rPr>
          <w:b/>
          <w:bCs/>
          <w:sz w:val="18"/>
          <w:szCs w:val="18"/>
        </w:rPr>
        <w:t xml:space="preserve">Figure 5.</w:t>
      </w:r>
      <w:r>
        <w:rPr>
          <w:i/>
          <w:iCs/>
          <w:sz w:val="18"/>
          <w:szCs w:val="18"/>
        </w:rPr>
        <w:t xml:space="preserve"> Odds ratios with 95% confidence intervals from the matched logistic model, standard errors clustered on the restoration site. Only elevation's interval falls entirely below the no-effect line. Soil available water capacity's interval runs to 17, which reflects how little six site clusters constrain it rather than a large effect.</w:t>
      </w:r>
    </w:p>
    <w:p>
      <w:pPr>
        <w:spacing w:after="140" w:line="276"/>
      </w:pPr>
      <w:r>
        <w:rPr>
          <w:sz w:val="21"/>
          <w:szCs w:val="21"/>
        </w:rPr>
        <w:t xml:space="preserve">The difference-in-differences estimate is +0.0069 change in annual burn probability per pixel (SE 0.0093, 95% band −0.0074 to +0.0213), with zero comfortably inside. Scaled to the roughly 11,800 restored hectares, the interval runs from about 87 ha per year of avoided burning to about 251 ha per year of additional burning — the analysis cannot distinguish a meaningful benefit from a meaningful harm.</w:t>
      </w:r>
    </w:p>
    <w:p>
      <w:pPr>
        <w:spacing w:after="140" w:line="276"/>
      </w:pPr>
      <w:r>
        <w:rPr>
          <w:sz w:val="21"/>
          <w:szCs w:val="21"/>
        </w:rPr>
        <w:t xml:space="preserve">More importantly, the identifying assumption does not hold. The pre-treatment half of the event study should straddle zero if trends were parallel; instead it swings to +0.088 eight years before restoration, −0.094 seven years before, and −0.064 three years before (Fig. 6). These pre-treatment pseudo-effects are an order of magnitude larger than the post-treatment estimates they are meant to validate.</w:t>
      </w:r>
    </w:p>
    <w:p>
      <w:pPr>
        <w:spacing w:after="60" w:before="180"/>
        <w:jc w:val="center"/>
      </w:pPr>
      <w:r>
        <w:drawing>
          <wp:inline distT="0" distB="0" distL="0" distR="0">
            <wp:extent cx="51911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3209925"/>
                    </a:xfrm>
                    <a:prstGeom prst="rect">
                      <a:avLst/>
                    </a:prstGeom>
                  </pic:spPr>
                </pic:pic>
              </a:graphicData>
            </a:graphic>
          </wp:inline>
        </w:drawing>
      </w:r>
    </w:p>
    <w:p>
      <w:pPr>
        <w:spacing w:after="240" w:line="240"/>
        <w:jc w:val="left"/>
      </w:pPr>
      <w:r>
        <w:rPr>
          <w:b/>
          <w:bCs/>
          <w:sz w:val="18"/>
          <w:szCs w:val="18"/>
        </w:rPr>
        <w:t xml:space="preserve">Figure 6.</w:t>
      </w:r>
      <w:r>
        <w:rPr>
          <w:i/>
          <w:iCs/>
          <w:sz w:val="18"/>
          <w:szCs w:val="18"/>
        </w:rPr>
        <w:t xml:space="preserve"> Event study from the matched difference-in-differences, with 95% pointwise confidence intervals. Blue points left of the restoration line are pre-treatment pseudo-effects and constitute the parallel-trends check; orange points right of it are the dynamic treatment effect. The large alternating pre-period swings — driven by the 2008 and 2011 fires entering and leaving individual cohorts' comparison windows — mean the assumption is not satisfied, so the post-period estimates should not be read as causal.</w:t>
      </w:r>
    </w:p>
    <w:p>
      <w:pPr>
        <w:pStyle w:val="Heading3"/>
        <w:spacing w:after="100" w:before="200"/>
      </w:pPr>
      <w:r>
        <w:rPr>
          <w:b/>
          <w:bCs/>
          <w:i/>
          <w:iCs/>
          <w:color w:val="44555E"/>
          <w:sz w:val="21"/>
          <w:szCs w:val="21"/>
        </w:rPr>
        <w:t xml:space="preserve">Why it is inconclusive</w:t>
      </w:r>
    </w:p>
    <w:p>
      <w:pPr>
        <w:spacing w:after="140" w:line="276"/>
      </w:pPr>
      <w:r>
        <w:rPr>
          <w:sz w:val="21"/>
          <w:szCs w:val="21"/>
        </w:rPr>
        <w:t xml:space="preserve">Not the estimator — the design cannot support the question yet. Six sites in four cohorts, against a rule of thumb of thirty or more for cluster-robust inference. Only two sites have any post-restoration fire, and one of them supplies almost all of it, so the post-treatment contrast effectively rests on a single site. The sites are recent, with post-treatment windows running from seven years down to zero. Parallel trends fails. And the outcome is the wrong variable for the mechanism (§6.3).</w:t>
      </w:r>
    </w:p>
    <w:p>
      <w:pPr>
        <w:spacing w:after="140" w:line="276"/>
      </w:pPr>
      <w:r>
        <w:rPr>
          <w:sz w:val="21"/>
          <w:szCs w:val="21"/>
        </w:rPr>
        <w:t xml:space="preserve">The unadjusted burn rates make the selection problem visible: restored sites burn more than the landscape average in most years, before restoration as well as after. Restoration here is plausibly targeted at degraded, drained, fire-prone peat — good conservation practice, and bad for a parallel-trends argument.</w:t>
      </w:r>
    </w:p>
    <w:p>
      <w:pPr>
        <w:pBdr>
          <w:left w:val="single" w:color="1F4E5F" w:sz="12" w:space="10"/>
        </w:pBdr>
        <w:spacing w:after="180" w:before="120" w:line="264"/>
        <w:ind w:left="220"/>
      </w:pPr>
      <w:r>
        <w:rPr>
          <w:i/>
          <w:iCs/>
          <w:color w:val="33444C"/>
          <w:sz w:val="20"/>
          <w:szCs w:val="20"/>
        </w:rPr>
        <w:t xml:space="preserve">A descriptive burn-rate-by-year figure is omitted here because the version currently produced uses the full unmatched candidate pool as its control series rather than the matched controls the DiD actually uses. The notebook already produces the matched version; regenerate it and it is worth adding back, since it shows the pre-treatment imbalance clearly.</w:t>
      </w:r>
    </w:p>
    <w:p>
      <w:pPr>
        <w:pStyle w:val="Heading1"/>
        <w:pBdr>
          <w:bottom w:val="single" w:color="C7CFD4" w:sz="6" w:space="6"/>
        </w:pBdr>
        <w:spacing w:after="170" w:before="380"/>
      </w:pPr>
      <w:r>
        <w:rPr>
          <w:b/>
          <w:bCs/>
          <w:color w:val="1F4E5F"/>
          <w:sz w:val="30"/>
          <w:szCs w:val="30"/>
        </w:rPr>
        <w:t xml:space="preserve">4.  Decisions made and why</w:t>
      </w:r>
    </w:p>
    <w:tbl>
      <w:tblPr>
        <w:tblW w:type="dxa" w:w="9360"/>
        <w:tblBorders>
          <w:top w:val="single" w:color="C7CFD4" w:sz="4"/>
          <w:left w:val="none" w:color="FFFFFF" w:sz="0"/>
          <w:bottom w:val="single" w:color="C7CFD4" w:sz="4"/>
          <w:right w:val="none" w:color="FFFFFF" w:sz="0"/>
          <w:insideH w:val="single" w:color="C7CFD4" w:sz="2"/>
          <w:insideV w:val="none" w:color="FFFFFF" w:sz="0"/>
        </w:tblBorders>
      </w:tblPr>
      <w:tblGrid>
        <w:gridCol w:w="2100"/>
        <w:gridCol w:w="2500"/>
        <w:gridCol w:w="4760"/>
      </w:tblGrid>
      <w:tr>
        <w:trPr>
          <w:cantSplit/>
          <w:tblHeader/>
        </w:trPr>
        <w:tc>
          <w:tcPr>
            <w:tcW w:type="dxa" w:w="2100"/>
            <w:shd w:fill="EDF2F4" w:color="auto" w:val="clear"/>
            <w:tcMar>
              <w:top w:type="dxa" w:w="70"/>
              <w:left w:type="dxa" w:w="110"/>
              <w:bottom w:type="dxa" w:w="70"/>
              <w:right w:type="dxa" w:w="110"/>
            </w:tcMar>
          </w:tcPr>
          <w:p>
            <w:pPr>
              <w:spacing w:after="0" w:line="252"/>
            </w:pPr>
            <w:r>
              <w:rPr>
                <w:b/>
                <w:bCs/>
                <w:sz w:val="18"/>
                <w:szCs w:val="18"/>
              </w:rPr>
              <w:t xml:space="preserve">Decision</w:t>
            </w:r>
          </w:p>
        </w:tc>
        <w:tc>
          <w:tcPr>
            <w:tcW w:type="dxa" w:w="2500"/>
            <w:shd w:fill="EDF2F4" w:color="auto" w:val="clear"/>
            <w:tcMar>
              <w:top w:type="dxa" w:w="70"/>
              <w:left w:type="dxa" w:w="110"/>
              <w:bottom w:type="dxa" w:w="70"/>
              <w:right w:type="dxa" w:w="110"/>
            </w:tcMar>
          </w:tcPr>
          <w:p>
            <w:pPr>
              <w:spacing w:after="0" w:line="252"/>
            </w:pPr>
            <w:r>
              <w:rPr>
                <w:b/>
                <w:bCs/>
                <w:sz w:val="18"/>
                <w:szCs w:val="18"/>
              </w:rPr>
              <w:t xml:space="preserve">Choice</w:t>
            </w:r>
          </w:p>
        </w:tc>
        <w:tc>
          <w:tcPr>
            <w:tcW w:type="dxa" w:w="4760"/>
            <w:shd w:fill="EDF2F4" w:color="auto" w:val="clear"/>
            <w:tcMar>
              <w:top w:type="dxa" w:w="70"/>
              <w:left w:type="dxa" w:w="110"/>
              <w:bottom w:type="dxa" w:w="70"/>
              <w:right w:type="dxa" w:w="110"/>
            </w:tcMar>
          </w:tcPr>
          <w:p>
            <w:pPr>
              <w:spacing w:after="0" w:line="252"/>
            </w:pPr>
            <w:r>
              <w:rPr>
                <w:b/>
                <w:bCs/>
                <w:sz w:val="18"/>
                <w:szCs w:val="18"/>
              </w:rPr>
              <w:t xml:space="preserve">Why</w:t>
            </w:r>
          </w:p>
        </w:tc>
      </w:tr>
      <w:tr>
        <w:trPr>
          <w:cantSplit/>
        </w:trPr>
        <w:tc>
          <w:tcPr>
            <w:tcW w:type="dxa" w:w="2100"/>
            <w:tcMar>
              <w:top w:type="dxa" w:w="70"/>
              <w:left w:type="dxa" w:w="110"/>
              <w:bottom w:type="dxa" w:w="70"/>
              <w:right w:type="dxa" w:w="110"/>
            </w:tcMar>
          </w:tcPr>
          <w:p>
            <w:pPr>
              <w:spacing w:after="0" w:line="252"/>
            </w:pPr>
            <w:r>
              <w:rPr>
                <w:sz w:val="18"/>
                <w:szCs w:val="18"/>
              </w:rPr>
              <w:t xml:space="preserve">Sample frame</w:t>
            </w:r>
          </w:p>
        </w:tc>
        <w:tc>
          <w:tcPr>
            <w:tcW w:type="dxa" w:w="2500"/>
            <w:tcMar>
              <w:top w:type="dxa" w:w="70"/>
              <w:left w:type="dxa" w:w="110"/>
              <w:bottom w:type="dxa" w:w="70"/>
              <w:right w:type="dxa" w:w="110"/>
            </w:tcMar>
          </w:tcPr>
          <w:p>
            <w:pPr>
              <w:spacing w:after="0" w:line="252"/>
            </w:pPr>
            <w:r>
              <w:rPr>
                <w:sz w:val="18"/>
                <w:szCs w:val="18"/>
              </w:rPr>
              <w:t xml:space="preserve">gSSURGO cells ≥ 80% histosol</w:t>
            </w:r>
          </w:p>
        </w:tc>
        <w:tc>
          <w:tcPr>
            <w:tcW w:type="dxa" w:w="4760"/>
            <w:tcMar>
              <w:top w:type="dxa" w:w="70"/>
              <w:left w:type="dxa" w:w="110"/>
              <w:bottom w:type="dxa" w:w="70"/>
              <w:right w:type="dxa" w:w="110"/>
            </w:tcMar>
          </w:tcPr>
          <w:p>
            <w:pPr>
              <w:spacing w:after="0" w:line="252"/>
            </w:pPr>
            <w:r>
              <w:rPr>
                <w:sz w:val="18"/>
                <w:szCs w:val="18"/>
              </w:rPr>
              <w:t xml:space="preserve">High-confidence peat; keeps non-peat out of the covariate distributions used for matching</w:t>
            </w:r>
          </w:p>
        </w:tc>
      </w:tr>
      <w:tr>
        <w:trPr>
          <w:cantSplit/>
        </w:trPr>
        <w:tc>
          <w:tcPr>
            <w:tcW w:type="dxa" w:w="2100"/>
            <w:shd w:fill="F7F9FA" w:color="auto" w:val="clear"/>
            <w:tcMar>
              <w:top w:type="dxa" w:w="70"/>
              <w:left w:type="dxa" w:w="110"/>
              <w:bottom w:type="dxa" w:w="70"/>
              <w:right w:type="dxa" w:w="110"/>
            </w:tcMar>
          </w:tcPr>
          <w:p>
            <w:pPr>
              <w:spacing w:after="0" w:line="252"/>
            </w:pPr>
            <w:r>
              <w:rPr>
                <w:sz w:val="18"/>
                <w:szCs w:val="18"/>
              </w:rPr>
              <w:t xml:space="preserve">Grid</w:t>
            </w:r>
          </w:p>
        </w:tc>
        <w:tc>
          <w:tcPr>
            <w:tcW w:type="dxa" w:w="2500"/>
            <w:shd w:fill="F7F9FA" w:color="auto" w:val="clear"/>
            <w:tcMar>
              <w:top w:type="dxa" w:w="70"/>
              <w:left w:type="dxa" w:w="110"/>
              <w:bottom w:type="dxa" w:w="70"/>
              <w:right w:type="dxa" w:w="110"/>
            </w:tcMar>
          </w:tcPr>
          <w:p>
            <w:pPr>
              <w:spacing w:after="0" w:line="252"/>
            </w:pPr>
            <w:r>
              <w:rPr>
                <w:sz w:val="18"/>
                <w:szCs w:val="18"/>
              </w:rPr>
              <w:t xml:space="preserve">EPSG:5070, 300 m</w:t>
            </w:r>
          </w:p>
        </w:tc>
        <w:tc>
          <w:tcPr>
            <w:tcW w:type="dxa" w:w="4760"/>
            <w:shd w:fill="F7F9FA" w:color="auto" w:val="clear"/>
            <w:tcMar>
              <w:top w:type="dxa" w:w="70"/>
              <w:left w:type="dxa" w:w="110"/>
              <w:bottom w:type="dxa" w:w="70"/>
              <w:right w:type="dxa" w:w="110"/>
            </w:tcMar>
          </w:tcPr>
          <w:p>
            <w:pPr>
              <w:spacing w:after="0" w:line="252"/>
            </w:pPr>
            <w:r>
              <w:rPr>
                <w:sz w:val="18"/>
                <w:szCs w:val="18"/>
              </w:rPr>
              <w:t xml:space="preserve">Equal-area, metric, and every layer aligned cell for cell</w:t>
            </w:r>
          </w:p>
        </w:tc>
      </w:tr>
      <w:tr>
        <w:trPr>
          <w:cantSplit/>
        </w:trPr>
        <w:tc>
          <w:tcPr>
            <w:tcW w:type="dxa" w:w="2100"/>
            <w:tcMar>
              <w:top w:type="dxa" w:w="70"/>
              <w:left w:type="dxa" w:w="110"/>
              <w:bottom w:type="dxa" w:w="70"/>
              <w:right w:type="dxa" w:w="110"/>
            </w:tcMar>
          </w:tcPr>
          <w:p>
            <w:pPr>
              <w:spacing w:after="0" w:line="252"/>
            </w:pPr>
            <w:r>
              <w:rPr>
                <w:sz w:val="18"/>
                <w:szCs w:val="18"/>
              </w:rPr>
              <w:t xml:space="preserve">Treatment timing</w:t>
            </w:r>
          </w:p>
        </w:tc>
        <w:tc>
          <w:tcPr>
            <w:tcW w:type="dxa" w:w="2500"/>
            <w:tcMar>
              <w:top w:type="dxa" w:w="70"/>
              <w:left w:type="dxa" w:w="110"/>
              <w:bottom w:type="dxa" w:w="70"/>
              <w:right w:type="dxa" w:w="110"/>
            </w:tcMar>
          </w:tcPr>
          <w:p>
            <w:pPr>
              <w:spacing w:after="0" w:line="252"/>
            </w:pPr>
            <w:r>
              <w:rPr>
                <w:sz w:val="18"/>
                <w:szCs w:val="18"/>
              </w:rPr>
              <w:t xml:space="preserve">Completion year, not start year</w:t>
            </w:r>
          </w:p>
        </w:tc>
        <w:tc>
          <w:tcPr>
            <w:tcW w:type="dxa" w:w="4760"/>
            <w:tcMar>
              <w:top w:type="dxa" w:w="70"/>
              <w:left w:type="dxa" w:w="110"/>
              <w:bottom w:type="dxa" w:w="70"/>
              <w:right w:type="dxa" w:w="110"/>
            </w:tcMar>
          </w:tcPr>
          <w:p>
            <w:pPr>
              <w:spacing w:after="0" w:line="252"/>
            </w:pPr>
            <w:r>
              <w:rPr>
                <w:sz w:val="18"/>
                <w:szCs w:val="18"/>
              </w:rPr>
              <w:t xml:space="preserve">Completion is when the site is actually re-wetted</w:t>
            </w:r>
          </w:p>
        </w:tc>
      </w:tr>
      <w:tr>
        <w:trPr>
          <w:cantSplit/>
        </w:trPr>
        <w:tc>
          <w:tcPr>
            <w:tcW w:type="dxa" w:w="2100"/>
            <w:shd w:fill="F7F9FA" w:color="auto" w:val="clear"/>
            <w:tcMar>
              <w:top w:type="dxa" w:w="70"/>
              <w:left w:type="dxa" w:w="110"/>
              <w:bottom w:type="dxa" w:w="70"/>
              <w:right w:type="dxa" w:w="110"/>
            </w:tcMar>
          </w:tcPr>
          <w:p>
            <w:pPr>
              <w:spacing w:after="0" w:line="252"/>
            </w:pPr>
            <w:r>
              <w:rPr>
                <w:sz w:val="18"/>
                <w:szCs w:val="18"/>
              </w:rPr>
              <w:t xml:space="preserve">Spillover buffer</w:t>
            </w:r>
          </w:p>
        </w:tc>
        <w:tc>
          <w:tcPr>
            <w:tcW w:type="dxa" w:w="2500"/>
            <w:shd w:fill="F7F9FA" w:color="auto" w:val="clear"/>
            <w:tcMar>
              <w:top w:type="dxa" w:w="70"/>
              <w:left w:type="dxa" w:w="110"/>
              <w:bottom w:type="dxa" w:w="70"/>
              <w:right w:type="dxa" w:w="110"/>
            </w:tcMar>
          </w:tcPr>
          <w:p>
            <w:pPr>
              <w:spacing w:after="0" w:line="252"/>
            </w:pPr>
            <w:r>
              <w:rPr>
                <w:sz w:val="18"/>
                <w:szCs w:val="18"/>
              </w:rPr>
              <w:t xml:space="preserve">0 m</w:t>
            </w:r>
          </w:p>
        </w:tc>
        <w:tc>
          <w:tcPr>
            <w:tcW w:type="dxa" w:w="4760"/>
            <w:shd w:fill="F7F9FA" w:color="auto" w:val="clear"/>
            <w:tcMar>
              <w:top w:type="dxa" w:w="70"/>
              <w:left w:type="dxa" w:w="110"/>
              <w:bottom w:type="dxa" w:w="70"/>
              <w:right w:type="dxa" w:w="110"/>
            </w:tcMar>
          </w:tcPr>
          <w:p>
            <w:pPr>
              <w:spacing w:after="0" w:line="252"/>
            </w:pPr>
            <w:r>
              <w:rPr>
                <w:sz w:val="18"/>
                <w:szCs w:val="18"/>
              </w:rPr>
              <w:t xml:space="preserve">TNC's assessment that these projects do not spill hydrologically</w:t>
            </w:r>
          </w:p>
        </w:tc>
      </w:tr>
      <w:tr>
        <w:trPr>
          <w:cantSplit/>
        </w:trPr>
        <w:tc>
          <w:tcPr>
            <w:tcW w:type="dxa" w:w="2100"/>
            <w:tcMar>
              <w:top w:type="dxa" w:w="70"/>
              <w:left w:type="dxa" w:w="110"/>
              <w:bottom w:type="dxa" w:w="70"/>
              <w:right w:type="dxa" w:w="110"/>
            </w:tcMar>
          </w:tcPr>
          <w:p>
            <w:pPr>
              <w:spacing w:after="0" w:line="252"/>
            </w:pPr>
            <w:r>
              <w:rPr>
                <w:sz w:val="18"/>
                <w:szCs w:val="18"/>
              </w:rPr>
              <w:t xml:space="preserve">Recommended burned-area product</w:t>
            </w:r>
          </w:p>
        </w:tc>
        <w:tc>
          <w:tcPr>
            <w:tcW w:type="dxa" w:w="2500"/>
            <w:tcMar>
              <w:top w:type="dxa" w:w="70"/>
              <w:left w:type="dxa" w:w="110"/>
              <w:bottom w:type="dxa" w:w="70"/>
              <w:right w:type="dxa" w:w="110"/>
            </w:tcMar>
          </w:tcPr>
          <w:p>
            <w:pPr>
              <w:spacing w:after="0" w:line="252"/>
            </w:pPr>
            <w:r>
              <w:rPr>
                <w:sz w:val="18"/>
                <w:szCs w:val="18"/>
              </w:rPr>
              <w:t xml:space="preserve">FireCCI S3.1.1</w:t>
            </w:r>
          </w:p>
        </w:tc>
        <w:tc>
          <w:tcPr>
            <w:tcW w:type="dxa" w:w="4760"/>
            <w:tcMar>
              <w:top w:type="dxa" w:w="70"/>
              <w:left w:type="dxa" w:w="110"/>
              <w:bottom w:type="dxa" w:w="70"/>
              <w:right w:type="dxa" w:w="110"/>
            </w:tcMar>
          </w:tcPr>
          <w:p>
            <w:pPr>
              <w:spacing w:after="0" w:line="252"/>
            </w:pPr>
            <w:r>
              <w:rPr>
                <w:sz w:val="18"/>
                <w:szCs w:val="18"/>
              </w:rPr>
              <w:t xml:space="preserve">Best combination of small-fire and large-fire detection over NC peat</w:t>
            </w:r>
          </w:p>
        </w:tc>
      </w:tr>
      <w:tr>
        <w:trPr>
          <w:cantSplit/>
        </w:trPr>
        <w:tc>
          <w:tcPr>
            <w:tcW w:type="dxa" w:w="2100"/>
            <w:shd w:fill="F7F9FA" w:color="auto" w:val="clear"/>
            <w:tcMar>
              <w:top w:type="dxa" w:w="70"/>
              <w:left w:type="dxa" w:w="110"/>
              <w:bottom w:type="dxa" w:w="70"/>
              <w:right w:type="dxa" w:w="110"/>
            </w:tcMar>
          </w:tcPr>
          <w:p>
            <w:pPr>
              <w:spacing w:after="0" w:line="252"/>
            </w:pPr>
            <w:r>
              <w:rPr>
                <w:sz w:val="18"/>
                <w:szCs w:val="18"/>
              </w:rPr>
              <w:t xml:space="preserve">Product actually modelled</w:t>
            </w:r>
          </w:p>
        </w:tc>
        <w:tc>
          <w:tcPr>
            <w:tcW w:type="dxa" w:w="2500"/>
            <w:shd w:fill="F7F9FA" w:color="auto" w:val="clear"/>
            <w:tcMar>
              <w:top w:type="dxa" w:w="70"/>
              <w:left w:type="dxa" w:w="110"/>
              <w:bottom w:type="dxa" w:w="70"/>
              <w:right w:type="dxa" w:w="110"/>
            </w:tcMar>
          </w:tcPr>
          <w:p>
            <w:pPr>
              <w:spacing w:after="0" w:line="252"/>
            </w:pPr>
            <w:r>
              <w:rPr>
                <w:sz w:val="18"/>
                <w:szCs w:val="18"/>
              </w:rPr>
              <w:t xml:space="preserve">MODIS MCD64A1</w:t>
            </w:r>
          </w:p>
        </w:tc>
        <w:tc>
          <w:tcPr>
            <w:tcW w:type="dxa" w:w="4760"/>
            <w:shd w:fill="F7F9FA" w:color="auto" w:val="clear"/>
            <w:tcMar>
              <w:top w:type="dxa" w:w="70"/>
              <w:left w:type="dxa" w:w="110"/>
              <w:bottom w:type="dxa" w:w="70"/>
              <w:right w:type="dxa" w:w="110"/>
            </w:tcMar>
          </w:tcPr>
          <w:p>
            <w:pPr>
              <w:spacing w:after="0" w:line="252"/>
            </w:pPr>
            <w:r>
              <w:rPr>
                <w:sz w:val="18"/>
                <w:szCs w:val="18"/>
              </w:rPr>
              <w:t xml:space="preserve">Its 2001–2026 record supports all four cohorts; FireCCI S3.1.1 starts in 2019 and leaves three sites with no pre-period</w:t>
            </w:r>
          </w:p>
        </w:tc>
      </w:tr>
      <w:tr>
        <w:trPr>
          <w:cantSplit/>
        </w:trPr>
        <w:tc>
          <w:tcPr>
            <w:tcW w:type="dxa" w:w="2100"/>
            <w:tcMar>
              <w:top w:type="dxa" w:w="70"/>
              <w:left w:type="dxa" w:w="110"/>
              <w:bottom w:type="dxa" w:w="70"/>
              <w:right w:type="dxa" w:w="110"/>
            </w:tcMar>
          </w:tcPr>
          <w:p>
            <w:pPr>
              <w:spacing w:after="0" w:line="252"/>
            </w:pPr>
            <w:r>
              <w:rPr>
                <w:sz w:val="18"/>
                <w:szCs w:val="18"/>
              </w:rPr>
              <w:t xml:space="preserve">Recommended occurrence product</w:t>
            </w:r>
          </w:p>
        </w:tc>
        <w:tc>
          <w:tcPr>
            <w:tcW w:type="dxa" w:w="2500"/>
            <w:tcMar>
              <w:top w:type="dxa" w:w="70"/>
              <w:left w:type="dxa" w:w="110"/>
              <w:bottom w:type="dxa" w:w="70"/>
              <w:right w:type="dxa" w:w="110"/>
            </w:tcMar>
          </w:tcPr>
          <w:p>
            <w:pPr>
              <w:spacing w:after="0" w:line="252"/>
            </w:pPr>
            <w:r>
              <w:rPr>
                <w:sz w:val="18"/>
                <w:szCs w:val="18"/>
              </w:rPr>
              <w:t xml:space="preserve">VIIRS Active Fire</w:t>
            </w:r>
          </w:p>
        </w:tc>
        <w:tc>
          <w:tcPr>
            <w:tcW w:type="dxa" w:w="4760"/>
            <w:tcMar>
              <w:top w:type="dxa" w:w="70"/>
              <w:left w:type="dxa" w:w="110"/>
              <w:bottom w:type="dxa" w:w="70"/>
              <w:right w:type="dxa" w:w="110"/>
            </w:tcMar>
          </w:tcPr>
          <w:p>
            <w:pPr>
              <w:spacing w:after="0" w:line="252"/>
            </w:pPr>
            <w:r>
              <w:rPr>
                <w:sz w:val="18"/>
                <w:szCs w:val="18"/>
              </w:rPr>
              <w:t xml:space="preserve">Highest detection rate; not suitable for area</w:t>
            </w:r>
          </w:p>
        </w:tc>
      </w:tr>
      <w:tr>
        <w:trPr>
          <w:cantSplit/>
        </w:trPr>
        <w:tc>
          <w:tcPr>
            <w:tcW w:type="dxa" w:w="2100"/>
            <w:shd w:fill="F7F9FA" w:color="auto" w:val="clear"/>
            <w:tcMar>
              <w:top w:type="dxa" w:w="70"/>
              <w:left w:type="dxa" w:w="110"/>
              <w:bottom w:type="dxa" w:w="70"/>
              <w:right w:type="dxa" w:w="110"/>
            </w:tcMar>
          </w:tcPr>
          <w:p>
            <w:pPr>
              <w:spacing w:after="0" w:line="252"/>
            </w:pPr>
            <w:r>
              <w:rPr>
                <w:sz w:val="18"/>
                <w:szCs w:val="18"/>
              </w:rPr>
              <w:t xml:space="preserve">Severity</w:t>
            </w:r>
          </w:p>
        </w:tc>
        <w:tc>
          <w:tcPr>
            <w:tcW w:type="dxa" w:w="2500"/>
            <w:shd w:fill="F7F9FA" w:color="auto" w:val="clear"/>
            <w:tcMar>
              <w:top w:type="dxa" w:w="70"/>
              <w:left w:type="dxa" w:w="110"/>
              <w:bottom w:type="dxa" w:w="70"/>
              <w:right w:type="dxa" w:w="110"/>
            </w:tcMar>
          </w:tcPr>
          <w:p>
            <w:pPr>
              <w:spacing w:after="0" w:line="252"/>
            </w:pPr>
            <w:r>
              <w:rPr>
                <w:sz w:val="18"/>
                <w:szCs w:val="18"/>
              </w:rPr>
              <w:t xml:space="preserve">Dropped</w:t>
            </w:r>
          </w:p>
        </w:tc>
        <w:tc>
          <w:tcPr>
            <w:tcW w:type="dxa" w:w="4760"/>
            <w:shd w:fill="F7F9FA" w:color="auto" w:val="clear"/>
            <w:tcMar>
              <w:top w:type="dxa" w:w="70"/>
              <w:left w:type="dxa" w:w="110"/>
              <w:bottom w:type="dxa" w:w="70"/>
              <w:right w:type="dxa" w:w="110"/>
            </w:tcMar>
          </w:tcPr>
          <w:p>
            <w:pPr>
              <w:spacing w:after="0" w:line="252"/>
            </w:pPr>
            <w:r>
              <w:rPr>
                <w:sz w:val="18"/>
                <w:szCs w:val="18"/>
              </w:rPr>
              <w:t xml:space="preserve">MTBS, SE FireMap and MOSEV are all too sparse over NC peat</w:t>
            </w:r>
          </w:p>
        </w:tc>
      </w:tr>
      <w:tr>
        <w:trPr>
          <w:cantSplit/>
        </w:trPr>
        <w:tc>
          <w:tcPr>
            <w:tcW w:type="dxa" w:w="2100"/>
            <w:tcMar>
              <w:top w:type="dxa" w:w="70"/>
              <w:left w:type="dxa" w:w="110"/>
              <w:bottom w:type="dxa" w:w="70"/>
              <w:right w:type="dxa" w:w="110"/>
            </w:tcMar>
          </w:tcPr>
          <w:p>
            <w:pPr>
              <w:spacing w:after="0" w:line="252"/>
            </w:pPr>
            <w:r>
              <w:rPr>
                <w:sz w:val="18"/>
                <w:szCs w:val="18"/>
              </w:rPr>
              <w:t xml:space="preserve">Design</w:t>
            </w:r>
          </w:p>
        </w:tc>
        <w:tc>
          <w:tcPr>
            <w:tcW w:type="dxa" w:w="2500"/>
            <w:tcMar>
              <w:top w:type="dxa" w:w="70"/>
              <w:left w:type="dxa" w:w="110"/>
              <w:bottom w:type="dxa" w:w="70"/>
              <w:right w:type="dxa" w:w="110"/>
            </w:tcMar>
          </w:tcPr>
          <w:p>
            <w:pPr>
              <w:spacing w:after="0" w:line="252"/>
            </w:pPr>
            <w:r>
              <w:rPr>
                <w:sz w:val="18"/>
                <w:szCs w:val="18"/>
              </w:rPr>
              <w:t xml:space="preserve">Match first, then DiD</w:t>
            </w:r>
          </w:p>
        </w:tc>
        <w:tc>
          <w:tcPr>
            <w:tcW w:type="dxa" w:w="4760"/>
            <w:tcMar>
              <w:top w:type="dxa" w:w="70"/>
              <w:left w:type="dxa" w:w="110"/>
              <w:bottom w:type="dxa" w:w="70"/>
              <w:right w:type="dxa" w:w="110"/>
            </w:tcMar>
          </w:tcPr>
          <w:p>
            <w:pPr>
              <w:spacing w:after="0" w:line="252"/>
            </w:pPr>
            <w:r>
              <w:rPr>
                <w:sz w:val="18"/>
                <w:szCs w:val="18"/>
              </w:rPr>
              <w:t xml:space="preserve">Matching buys covariate overlap; DiD removes time-invariant confounders</w:t>
            </w:r>
          </w:p>
        </w:tc>
      </w:tr>
      <w:tr>
        <w:trPr>
          <w:cantSplit/>
        </w:trPr>
        <w:tc>
          <w:tcPr>
            <w:tcW w:type="dxa" w:w="2100"/>
            <w:shd w:fill="F7F9FA" w:color="auto" w:val="clear"/>
            <w:tcMar>
              <w:top w:type="dxa" w:w="70"/>
              <w:left w:type="dxa" w:w="110"/>
              <w:bottom w:type="dxa" w:w="70"/>
              <w:right w:type="dxa" w:w="110"/>
            </w:tcMar>
          </w:tcPr>
          <w:p>
            <w:pPr>
              <w:spacing w:after="0" w:line="252"/>
            </w:pPr>
            <w:r>
              <w:rPr>
                <w:sz w:val="18"/>
                <w:szCs w:val="18"/>
              </w:rPr>
              <w:t xml:space="preserve">DiD estimator</w:t>
            </w:r>
          </w:p>
        </w:tc>
        <w:tc>
          <w:tcPr>
            <w:tcW w:type="dxa" w:w="2500"/>
            <w:shd w:fill="F7F9FA" w:color="auto" w:val="clear"/>
            <w:tcMar>
              <w:top w:type="dxa" w:w="70"/>
              <w:left w:type="dxa" w:w="110"/>
              <w:bottom w:type="dxa" w:w="70"/>
              <w:right w:type="dxa" w:w="110"/>
            </w:tcMar>
          </w:tcPr>
          <w:p>
            <w:pPr>
              <w:spacing w:after="0" w:line="252"/>
            </w:pPr>
            <w:r>
              <w:rPr>
                <w:sz w:val="18"/>
                <w:szCs w:val="18"/>
              </w:rPr>
              <w:t xml:space="preserve">Callaway–Sant'Anna, doubly robust</w:t>
            </w:r>
          </w:p>
        </w:tc>
        <w:tc>
          <w:tcPr>
            <w:tcW w:type="dxa" w:w="4760"/>
            <w:shd w:fill="F7F9FA" w:color="auto" w:val="clear"/>
            <w:tcMar>
              <w:top w:type="dxa" w:w="70"/>
              <w:left w:type="dxa" w:w="110"/>
              <w:bottom w:type="dxa" w:w="70"/>
              <w:right w:type="dxa" w:w="110"/>
            </w:tcMar>
          </w:tcPr>
          <w:p>
            <w:pPr>
              <w:spacing w:after="0" w:line="252"/>
            </w:pPr>
            <w:r>
              <w:rPr>
                <w:sz w:val="18"/>
                <w:szCs w:val="18"/>
              </w:rPr>
              <w:t xml:space="preserve">Staggered adoption makes two-way fixed effects biased</w:t>
            </w:r>
          </w:p>
        </w:tc>
      </w:tr>
      <w:tr>
        <w:trPr>
          <w:cantSplit/>
        </w:trPr>
        <w:tc>
          <w:tcPr>
            <w:tcW w:type="dxa" w:w="2100"/>
            <w:tcMar>
              <w:top w:type="dxa" w:w="70"/>
              <w:left w:type="dxa" w:w="110"/>
              <w:bottom w:type="dxa" w:w="70"/>
              <w:right w:type="dxa" w:w="110"/>
            </w:tcMar>
          </w:tcPr>
          <w:p>
            <w:pPr>
              <w:spacing w:after="0" w:line="252"/>
            </w:pPr>
            <w:r>
              <w:rPr>
                <w:sz w:val="18"/>
                <w:szCs w:val="18"/>
              </w:rPr>
              <w:t xml:space="preserve">Matching</w:t>
            </w:r>
          </w:p>
        </w:tc>
        <w:tc>
          <w:tcPr>
            <w:tcW w:type="dxa" w:w="2500"/>
            <w:tcMar>
              <w:top w:type="dxa" w:w="70"/>
              <w:left w:type="dxa" w:w="110"/>
              <w:bottom w:type="dxa" w:w="70"/>
              <w:right w:type="dxa" w:w="110"/>
            </w:tcMar>
          </w:tcPr>
          <w:p>
            <w:pPr>
              <w:spacing w:after="0" w:line="252"/>
            </w:pPr>
            <w:r>
              <w:rPr>
                <w:sz w:val="18"/>
                <w:szCs w:val="18"/>
              </w:rPr>
              <w:t xml:space="preserve">Mahalanobis, 1:1, caliper 1.0, no replacement</w:t>
            </w:r>
          </w:p>
        </w:tc>
        <w:tc>
          <w:tcPr>
            <w:tcW w:type="dxa" w:w="4760"/>
            <w:tcMar>
              <w:top w:type="dxa" w:w="70"/>
              <w:left w:type="dxa" w:w="110"/>
              <w:bottom w:type="dxa" w:w="70"/>
              <w:right w:type="dxa" w:w="110"/>
            </w:tcMar>
          </w:tcPr>
          <w:p>
            <w:pPr>
              <w:spacing w:after="0" w:line="252"/>
            </w:pPr>
            <w:r>
              <w:rPr>
                <w:sz w:val="18"/>
                <w:szCs w:val="18"/>
              </w:rPr>
              <w:t xml:space="preserve">Corrects for scale and correlation; the caliper drops rather than force-matches</w:t>
            </w:r>
          </w:p>
        </w:tc>
      </w:tr>
      <w:tr>
        <w:trPr>
          <w:cantSplit/>
        </w:trPr>
        <w:tc>
          <w:tcPr>
            <w:tcW w:type="dxa" w:w="2100"/>
            <w:shd w:fill="F7F9FA" w:color="auto" w:val="clear"/>
            <w:tcMar>
              <w:top w:type="dxa" w:w="70"/>
              <w:left w:type="dxa" w:w="110"/>
              <w:bottom w:type="dxa" w:w="70"/>
              <w:right w:type="dxa" w:w="110"/>
            </w:tcMar>
          </w:tcPr>
          <w:p>
            <w:pPr>
              <w:spacing w:after="0" w:line="252"/>
            </w:pPr>
            <w:r>
              <w:rPr>
                <w:sz w:val="18"/>
                <w:szCs w:val="18"/>
              </w:rPr>
              <w:t xml:space="preserve">Climate predictors</w:t>
            </w:r>
          </w:p>
        </w:tc>
        <w:tc>
          <w:tcPr>
            <w:tcW w:type="dxa" w:w="2500"/>
            <w:shd w:fill="F7F9FA" w:color="auto" w:val="clear"/>
            <w:tcMar>
              <w:top w:type="dxa" w:w="70"/>
              <w:left w:type="dxa" w:w="110"/>
              <w:bottom w:type="dxa" w:w="70"/>
              <w:right w:type="dxa" w:w="110"/>
            </w:tcMar>
          </w:tcPr>
          <w:p>
            <w:pPr>
              <w:spacing w:after="0" w:line="252"/>
            </w:pPr>
            <w:r>
              <w:rPr>
                <w:sz w:val="18"/>
                <w:szCs w:val="18"/>
              </w:rPr>
              <w:t xml:space="preserve">scPDSI and GDD only</w:t>
            </w:r>
          </w:p>
        </w:tc>
        <w:tc>
          <w:tcPr>
            <w:tcW w:type="dxa" w:w="4760"/>
            <w:shd w:fill="F7F9FA" w:color="auto" w:val="clear"/>
            <w:tcMar>
              <w:top w:type="dxa" w:w="70"/>
              <w:left w:type="dxa" w:w="110"/>
              <w:bottom w:type="dxa" w:w="70"/>
              <w:right w:type="dxa" w:w="110"/>
            </w:tcMar>
          </w:tcPr>
          <w:p>
            <w:pPr>
              <w:spacing w:after="0" w:line="252"/>
            </w:pPr>
            <w:r>
              <w:rPr>
                <w:sz w:val="18"/>
                <w:szCs w:val="18"/>
              </w:rPr>
              <w:t xml:space="preserve">Mechanistically interpretable; other temperature and precipitation metrics are collinear with them (per your request, Aug 2026)</w:t>
            </w:r>
          </w:p>
        </w:tc>
      </w:tr>
      <w:tr>
        <w:trPr>
          <w:cantSplit/>
        </w:trPr>
        <w:tc>
          <w:tcPr>
            <w:tcW w:type="dxa" w:w="2100"/>
            <w:tcMar>
              <w:top w:type="dxa" w:w="70"/>
              <w:left w:type="dxa" w:w="110"/>
              <w:bottom w:type="dxa" w:w="70"/>
              <w:right w:type="dxa" w:w="110"/>
            </w:tcMar>
          </w:tcPr>
          <w:p>
            <w:pPr>
              <w:spacing w:after="0" w:line="252"/>
            </w:pPr>
            <w:r>
              <w:rPr>
                <w:sz w:val="18"/>
                <w:szCs w:val="18"/>
              </w:rPr>
              <w:t xml:space="preserve">Excluded covariate</w:t>
            </w:r>
          </w:p>
        </w:tc>
        <w:tc>
          <w:tcPr>
            <w:tcW w:type="dxa" w:w="2500"/>
            <w:tcMar>
              <w:top w:type="dxa" w:w="70"/>
              <w:left w:type="dxa" w:w="110"/>
              <w:bottom w:type="dxa" w:w="70"/>
              <w:right w:type="dxa" w:w="110"/>
            </w:tcMar>
          </w:tcPr>
          <w:p>
            <w:pPr>
              <w:spacing w:after="0" w:line="252"/>
            </w:pPr>
            <w:r>
              <w:rPr>
                <w:sz w:val="18"/>
                <w:szCs w:val="18"/>
              </w:rPr>
              <w:t xml:space="preserve">soil_water_table_depth</w:t>
            </w:r>
          </w:p>
        </w:tc>
        <w:tc>
          <w:tcPr>
            <w:tcW w:type="dxa" w:w="4760"/>
            <w:tcMar>
              <w:top w:type="dxa" w:w="70"/>
              <w:left w:type="dxa" w:w="110"/>
              <w:bottom w:type="dxa" w:w="70"/>
              <w:right w:type="dxa" w:w="110"/>
            </w:tcMar>
          </w:tcPr>
          <w:p>
            <w:pPr>
              <w:spacing w:after="0" w:line="252"/>
            </w:pPr>
            <w:r>
              <w:rPr>
                <w:sz w:val="18"/>
                <w:szCs w:val="18"/>
              </w:rPr>
              <w:t xml:space="preserve">Caused a positivity failure: controls received near-zero propensity for later cohorts</w:t>
            </w:r>
          </w:p>
        </w:tc>
      </w:tr>
      <w:tr>
        <w:trPr>
          <w:cantSplit/>
        </w:trPr>
        <w:tc>
          <w:tcPr>
            <w:tcW w:type="dxa" w:w="2100"/>
            <w:shd w:fill="F7F9FA" w:color="auto" w:val="clear"/>
            <w:tcMar>
              <w:top w:type="dxa" w:w="70"/>
              <w:left w:type="dxa" w:w="110"/>
              <w:bottom w:type="dxa" w:w="70"/>
              <w:right w:type="dxa" w:w="110"/>
            </w:tcMar>
          </w:tcPr>
          <w:p>
            <w:pPr>
              <w:spacing w:after="0" w:line="252"/>
            </w:pPr>
            <w:r>
              <w:rPr>
                <w:sz w:val="18"/>
                <w:szCs w:val="18"/>
              </w:rPr>
              <w:t xml:space="preserve">Clustering</w:t>
            </w:r>
          </w:p>
        </w:tc>
        <w:tc>
          <w:tcPr>
            <w:tcW w:type="dxa" w:w="2500"/>
            <w:shd w:fill="F7F9FA" w:color="auto" w:val="clear"/>
            <w:tcMar>
              <w:top w:type="dxa" w:w="70"/>
              <w:left w:type="dxa" w:w="110"/>
              <w:bottom w:type="dxa" w:w="70"/>
              <w:right w:type="dxa" w:w="110"/>
            </w:tcMar>
          </w:tcPr>
          <w:p>
            <w:pPr>
              <w:spacing w:after="0" w:line="252"/>
            </w:pPr>
            <w:r>
              <w:rPr>
                <w:sz w:val="18"/>
                <w:szCs w:val="18"/>
              </w:rPr>
              <w:t xml:space="preserve">Restoration site</w:t>
            </w:r>
          </w:p>
        </w:tc>
        <w:tc>
          <w:tcPr>
            <w:tcW w:type="dxa" w:w="4760"/>
            <w:shd w:fill="F7F9FA" w:color="auto" w:val="clear"/>
            <w:tcMar>
              <w:top w:type="dxa" w:w="70"/>
              <w:left w:type="dxa" w:w="110"/>
              <w:bottom w:type="dxa" w:w="70"/>
              <w:right w:type="dxa" w:w="110"/>
            </w:tcMar>
          </w:tcPr>
          <w:p>
            <w:pPr>
              <w:spacing w:after="0" w:line="252"/>
            </w:pPr>
            <w:r>
              <w:rPr>
                <w:sz w:val="18"/>
                <w:szCs w:val="18"/>
              </w:rPr>
              <w:t xml:space="preserve">Treatment is assigned at the site; pixel-level SEs are pseudo-replication</w:t>
            </w:r>
          </w:p>
        </w:tc>
      </w:tr>
    </w:tbl>
    <w:p>
      <w:pPr>
        <w:spacing w:after="60" w:before="80" w:line="240"/>
      </w:pPr>
      <w:r>
        <w:rPr>
          <w:b/>
          <w:bCs/>
          <w:sz w:val="18"/>
          <w:szCs w:val="18"/>
        </w:rPr>
        <w:t xml:space="preserve">Table 2.</w:t>
      </w:r>
      <w:r>
        <w:rPr>
          <w:i/>
          <w:iCs/>
          <w:sz w:val="18"/>
          <w:szCs w:val="18"/>
        </w:rPr>
        <w:t xml:space="preserve"> Design decisions. The full log, with the alternatives considered for each, is in methods.md §11.</w:t>
      </w:r>
    </w:p>
    <w:p>
      <w:pPr>
        <w:spacing w:after="140"/>
      </w:pPr>
    </w:p>
    <w:p>
      <w:pPr>
        <w:pStyle w:val="Heading2"/>
        <w:spacing w:after="120" w:before="280"/>
      </w:pPr>
      <w:r>
        <w:rPr>
          <w:b/>
          <w:bCs/>
          <w:color w:val="2C3E46"/>
          <w:sz w:val="24"/>
          <w:szCs w:val="24"/>
        </w:rPr>
        <w:t xml:space="preserve">4.1  On the climate predictors</w:t>
      </w:r>
    </w:p>
    <w:p>
      <w:pPr>
        <w:spacing w:after="140" w:line="276"/>
      </w:pPr>
      <w:r>
        <w:rPr>
          <w:sz w:val="21"/>
          <w:szCs w:val="21"/>
        </w:rPr>
        <w:t xml:space="preserve">To answer the question directly: yes, the reported specification keeps exactly scPDSI and growing degree days and drops all other temperature and precipitation metrics — precipitation, maximum-temperature and minimum-temperature normals and their per-year counterparts. In the code this is a single exclusion set at the top of the notebook that propagates to the match, the scores and both models. Each predictor is carried in whichever form the stage admits: the match uses the GDD normal, since matching on a year-varying value would pair pixels partly on weather that post-dates restoration, and the outcome stage uses per-year scPDSI.</w:t>
      </w:r>
    </w:p>
    <w:p>
      <w:pPr>
        <w:pBdr>
          <w:left w:val="single" w:color="1F4E5F" w:sz="12" w:space="10"/>
        </w:pBdr>
        <w:spacing w:after="180" w:before="120" w:line="264"/>
        <w:ind w:left="220"/>
      </w:pPr>
      <w:r>
        <w:rPr>
          <w:i/>
          <w:iCs/>
          <w:color w:val="33444C"/>
          <w:sz w:val="20"/>
          <w:szCs w:val="20"/>
        </w:rPr>
        <w:t xml:space="preserve">One gap worth flagging: the per-year GDD rasters had not been built when these results were run, so the treated × GDD interaction that would parallel treated × scPDSI has not yet been estimated. The code path exists; re-running the notebook end to end supplies it.</w:t>
      </w:r>
    </w:p>
    <w:p>
      <w:pPr>
        <w:pStyle w:val="Heading1"/>
        <w:pBdr>
          <w:bottom w:val="single" w:color="C7CFD4" w:sz="6" w:space="6"/>
        </w:pBdr>
        <w:spacing w:after="170" w:before="380"/>
      </w:pPr>
      <w:r>
        <w:rPr>
          <w:b/>
          <w:bCs/>
          <w:color w:val="1F4E5F"/>
          <w:sz w:val="30"/>
          <w:szCs w:val="30"/>
        </w:rPr>
        <w:t xml:space="preserve">5.  What best predicts fire</w:t>
      </w:r>
    </w:p>
    <w:p>
      <w:pPr>
        <w:spacing w:after="140" w:line="276"/>
      </w:pPr>
      <w:r>
        <w:rPr>
          <w:sz w:val="21"/>
          <w:szCs w:val="21"/>
        </w:rPr>
        <w:t xml:space="preserve">Taking both models together, one variable stands out and the rest are not separable from noise at six clusters.</w:t>
      </w:r>
    </w:p>
    <w:p>
      <w:pPr>
        <w:pStyle w:val="ListParagraph"/>
        <w:numPr>
          <w:ilvl w:val="0"/>
          <w:numId w:val="2"/>
        </w:numPr>
        <w:spacing w:after="80" w:line="276"/>
      </w:pPr>
      <w:r>
        <w:rPr>
          <w:b/>
          <w:bCs/>
          <w:sz w:val="21"/>
          <w:szCs w:val="21"/>
        </w:rPr>
        <w:t xml:space="preserve">Elevation is the clearest predictor. </w:t>
      </w:r>
      <w:r>
        <w:rPr>
          <w:sz w:val="21"/>
          <w:szCs w:val="21"/>
        </w:rPr>
        <w:t xml:space="preserve">Odds ratio 0.17 per standard deviation (95% CI 0.04–0.65, p = 0.010) — a pixel one standard deviation higher has roughly one-sixth the odds of burning in a given year. Lower-lying peat burns more, consistent with the low, flat, poorly drained pocosin interiors carrying both the deepest peat and the largest fires. This is the only term in either model whose interval excludes no effect.</w:t>
      </w:r>
    </w:p>
    <w:p>
      <w:pPr>
        <w:pStyle w:val="ListParagraph"/>
        <w:numPr>
          <w:ilvl w:val="0"/>
          <w:numId w:val="2"/>
        </w:numPr>
        <w:spacing w:after="80" w:line="276"/>
      </w:pPr>
      <w:r>
        <w:rPr>
          <w:b/>
          <w:bCs/>
          <w:sz w:val="21"/>
          <w:szCs w:val="21"/>
        </w:rPr>
        <w:t xml:space="preserve">Drought points the right way but is not significant. </w:t>
      </w:r>
      <w:r>
        <w:rPr>
          <w:sz w:val="21"/>
          <w:szCs w:val="21"/>
        </w:rPr>
        <w:t xml:space="preserve">scPDSI has an odds ratio of 0.63 per standard deviation (95% CI 0.34–1.16, p = 0.139): drier years burn more, which is the expected mechanism, and the coefficient is not small. It falls short mainly because six site clusters do not constrain a year-varying predictor well. This is the term most likely to become significant with more sites.</w:t>
      </w:r>
    </w:p>
    <w:p>
      <w:pPr>
        <w:pStyle w:val="ListParagraph"/>
        <w:numPr>
          <w:ilvl w:val="0"/>
          <w:numId w:val="2"/>
        </w:numPr>
        <w:spacing w:after="80" w:line="276"/>
      </w:pPr>
      <w:r>
        <w:rPr>
          <w:b/>
          <w:bCs/>
          <w:sz w:val="21"/>
          <w:szCs w:val="21"/>
        </w:rPr>
        <w:t xml:space="preserve">Restoration status is not predictive, </w:t>
      </w:r>
      <w:r>
        <w:rPr>
          <w:sz w:val="21"/>
          <w:szCs w:val="21"/>
        </w:rPr>
        <w:t xml:space="preserve">and the soil covariates — organic matter, available water capacity, site index, drainage — all have intervals spanning no effect by wide margins. On a frame already restricted to ≥ 80% histosol those layers have little spatial contrast left.</w:t>
      </w:r>
    </w:p>
    <w:p>
      <w:pPr>
        <w:pBdr>
          <w:left w:val="single" w:color="1F4E5F" w:sz="12" w:space="10"/>
        </w:pBdr>
        <w:spacing w:after="180" w:before="120" w:line="264"/>
        <w:ind w:left="220"/>
      </w:pPr>
      <w:r>
        <w:rPr>
          <w:i/>
          <w:iCs/>
          <w:color w:val="33444C"/>
          <w:sz w:val="20"/>
          <w:szCs w:val="20"/>
        </w:rPr>
        <w:t xml:space="preserve">Caveat: these are associations across peat pixels within a frame selected for high histosol content, with standard errors resting on six clusters. They describe where fire occurs in this sample; they are not a general fire-risk model. The descriptive burned-area-versus-covariate views in the notebook cover the whole peat AOI and would support a broader statement — worth adding if this question matters.</w:t>
      </w:r>
    </w:p>
    <w:p>
      <w:pPr>
        <w:pStyle w:val="Heading1"/>
        <w:pBdr>
          <w:bottom w:val="single" w:color="C7CFD4" w:sz="6" w:space="6"/>
        </w:pBdr>
        <w:spacing w:after="170" w:before="380"/>
      </w:pPr>
      <w:r>
        <w:rPr>
          <w:b/>
          <w:bCs/>
          <w:color w:val="1F4E5F"/>
          <w:sz w:val="30"/>
          <w:szCs w:val="30"/>
        </w:rPr>
        <w:t xml:space="preserve">6.  Next steps</w:t>
      </w:r>
    </w:p>
    <w:p>
      <w:pPr>
        <w:pStyle w:val="Heading2"/>
        <w:spacing w:after="120" w:before="280"/>
      </w:pPr>
      <w:r>
        <w:rPr>
          <w:b/>
          <w:bCs/>
          <w:color w:val="2C3E46"/>
          <w:sz w:val="24"/>
          <w:szCs w:val="24"/>
        </w:rPr>
        <w:t xml:space="preserve">6.1  Reporting the current result properly</w:t>
      </w:r>
    </w:p>
    <w:p>
      <w:pPr>
        <w:pStyle w:val="ListParagraph"/>
        <w:numPr>
          <w:ilvl w:val="0"/>
          <w:numId w:val="2"/>
        </w:numPr>
        <w:spacing w:after="80" w:line="276"/>
      </w:pPr>
      <w:r>
        <w:rPr>
          <w:b/>
          <w:bCs/>
          <w:sz w:val="21"/>
          <w:szCs w:val="21"/>
        </w:rPr>
        <w:t xml:space="preserve">Run the power analysis. </w:t>
      </w:r>
      <w:r>
        <w:rPr>
          <w:sz w:val="21"/>
          <w:szCs w:val="21"/>
        </w:rPr>
        <w:t xml:space="preserve">peatfire.modeling.power already has the pieces: design_summary reports the real denominator, minimum_detectable_effect reports the smallest effect this design could have detected, and sample_size_curve reports what a design powered at 80% would need in sites and years. This turns "we found nothing" into "here is what this design could and could not have detected" — the difference between an uninformative result and a useful one. Highest value, no new data required.</w:t>
      </w:r>
    </w:p>
    <w:p>
      <w:pPr>
        <w:pStyle w:val="ListParagraph"/>
        <w:numPr>
          <w:ilvl w:val="0"/>
          <w:numId w:val="2"/>
        </w:numPr>
        <w:spacing w:after="80" w:line="276"/>
      </w:pPr>
      <w:r>
        <w:rPr>
          <w:b/>
          <w:bCs/>
          <w:sz w:val="21"/>
          <w:szCs w:val="21"/>
        </w:rPr>
        <w:t xml:space="preserve">Use randomisation inference for the p-value. </w:t>
      </w:r>
      <w:r>
        <w:rPr>
          <w:sz w:val="21"/>
          <w:szCs w:val="21"/>
        </w:rPr>
        <w:t xml:space="preserve">It holds the fire history fixed and permutes which sites were restored and when, which is exactly what the null asserts. Unlike the cluster bootstrap it is valid at six clusters, and it should replace the bootstrap interval as the headline.</w:t>
      </w:r>
    </w:p>
    <w:p>
      <w:pPr>
        <w:pStyle w:val="ListParagraph"/>
        <w:numPr>
          <w:ilvl w:val="0"/>
          <w:numId w:val="2"/>
        </w:numPr>
        <w:spacing w:after="80" w:line="276"/>
      </w:pPr>
      <w:r>
        <w:rPr>
          <w:b/>
          <w:bCs/>
          <w:sz w:val="21"/>
          <w:szCs w:val="21"/>
        </w:rPr>
        <w:t xml:space="preserve">Add the jackknife-by-site and negative-control checks. </w:t>
      </w:r>
      <w:r>
        <w:rPr>
          <w:sz w:val="21"/>
          <w:szCs w:val="21"/>
        </w:rPr>
        <w:t xml:space="preserve">Leaving each site out in turn shows whether the result is driven by Dare Bombing Range, which given Table 1 it almost certainly is. Running the pipeline on planned-but-unrestored sites at their scheduled years gives a placebo: any effect there is upstream confounding.</w:t>
      </w:r>
    </w:p>
    <w:p>
      <w:pPr>
        <w:pStyle w:val="Heading2"/>
        <w:spacing w:after="120" w:before="280"/>
      </w:pPr>
      <w:r>
        <w:rPr>
          <w:b/>
          <w:bCs/>
          <w:color w:val="2C3E46"/>
          <w:sz w:val="24"/>
          <w:szCs w:val="24"/>
        </w:rPr>
        <w:t xml:space="preserve">6.2  Improving the design</w:t>
      </w:r>
    </w:p>
    <w:p>
      <w:pPr>
        <w:pStyle w:val="ListParagraph"/>
        <w:numPr>
          <w:ilvl w:val="0"/>
          <w:numId w:val="2"/>
        </w:numPr>
        <w:spacing w:after="80" w:line="276"/>
      </w:pPr>
      <w:r>
        <w:rPr>
          <w:b/>
          <w:bCs/>
          <w:sz w:val="21"/>
          <w:szCs w:val="21"/>
        </w:rPr>
        <w:t xml:space="preserve">Draw controls from planned-but-unrestored sites rather than all NC peatlands. </w:t>
      </w:r>
      <w:r>
        <w:rPr>
          <w:sz w:val="21"/>
          <w:szCs w:val="21"/>
        </w:rPr>
        <w:t xml:space="preserve">The most promising change. Sites selected for future restoration were chosen by the same criteria as those already restored, so they are far more plausibly on parallel trends than matched landscape peat — which is exactly where the current design fails. It also supplies the negative control at no extra cost.</w:t>
      </w:r>
    </w:p>
    <w:p>
      <w:pPr>
        <w:pStyle w:val="ListParagraph"/>
        <w:numPr>
          <w:ilvl w:val="0"/>
          <w:numId w:val="2"/>
        </w:numPr>
        <w:spacing w:after="80" w:line="276"/>
      </w:pPr>
      <w:r>
        <w:rPr>
          <w:b/>
          <w:bCs/>
          <w:sz w:val="21"/>
          <w:szCs w:val="21"/>
        </w:rPr>
        <w:t xml:space="preserve">Split sites using Eric's hydrological data. </w:t>
      </w:r>
      <w:r>
        <w:rPr>
          <w:sz w:val="21"/>
          <w:szCs w:val="21"/>
        </w:rPr>
        <w:t xml:space="preserve">If each site can be partitioned into five or six hydrologically distinct units, the effective cluster count rises from six toward thirty, which is where cluster-robust inference becomes trustworthy. Worth verifying the sub-units are genuinely independent first — they still share a water table and a fire, so this buys less than the raw count suggests.</w:t>
      </w:r>
    </w:p>
    <w:p>
      <w:pPr>
        <w:pStyle w:val="ListParagraph"/>
        <w:numPr>
          <w:ilvl w:val="0"/>
          <w:numId w:val="2"/>
        </w:numPr>
        <w:spacing w:after="80" w:line="276"/>
      </w:pPr>
      <w:r>
        <w:rPr>
          <w:b/>
          <w:bCs/>
          <w:sz w:val="21"/>
          <w:szCs w:val="21"/>
        </w:rPr>
        <w:t xml:space="preserve">Re-run on FireCCI S3.1.1 as a robustness check. </w:t>
      </w:r>
      <w:r>
        <w:rPr>
          <w:sz w:val="21"/>
          <w:szCs w:val="21"/>
        </w:rPr>
        <w:t xml:space="preserve">It supports only the 2021 and 2023 cohorts but detects small fires far better, and agreement across products on those cohorts would strengthen the conclusion. One configuration switch.</w:t>
      </w:r>
    </w:p>
    <w:p>
      <w:pPr>
        <w:pStyle w:val="ListParagraph"/>
        <w:numPr>
          <w:ilvl w:val="0"/>
          <w:numId w:val="2"/>
        </w:numPr>
        <w:spacing w:after="80" w:line="276"/>
      </w:pPr>
      <w:r>
        <w:rPr>
          <w:b/>
          <w:bCs/>
          <w:sz w:val="21"/>
          <w:szCs w:val="21"/>
        </w:rPr>
        <w:t xml:space="preserve">Fire return interval is not worth pursuing. </w:t>
      </w:r>
      <w:r>
        <w:rPr>
          <w:sz w:val="21"/>
          <w:szCs w:val="21"/>
        </w:rPr>
        <w:t xml:space="preserve">It requires a pixel to burn at least twice within the record, which is rare enough here that the effective sample would be smaller than the current one, not larger.</w:t>
      </w:r>
    </w:p>
    <w:p>
      <w:pPr>
        <w:pStyle w:val="Heading2"/>
        <w:spacing w:after="120" w:before="280"/>
      </w:pPr>
      <w:r>
        <w:rPr>
          <w:b/>
          <w:bCs/>
          <w:color w:val="2C3E46"/>
          <w:sz w:val="24"/>
          <w:szCs w:val="24"/>
        </w:rPr>
        <w:t xml:space="preserve">6.3  The measurement problem</w:t>
      </w:r>
    </w:p>
    <w:p>
      <w:pPr>
        <w:spacing w:after="140" w:line="276"/>
      </w:pPr>
      <w:r>
        <w:rPr>
          <w:sz w:val="21"/>
          <w:szCs w:val="21"/>
        </w:rPr>
        <w:t xml:space="preserve">The most important limitation is not statistical. A 300 m burned-area product measures burned extent, but the literature on these systems (Richardson et al. 2022; Reardon et al. 2007) indicates that restored pocosins still burn at the surface — surface fire is natural here at 20 to 80 year intervals — and that what re-wetting changes is how deep the fire burns into the peat. Burn depth is exactly what a burned-area product cannot see, and it is also what the carbon accounting depends on. Even a well-powered version of this analysis could return a true null on burned area while restoration is substantially reducing peat combustion.</w:t>
      </w:r>
    </w:p>
    <w:p>
      <w:pPr>
        <w:spacing w:after="140" w:line="276"/>
      </w:pPr>
      <w:r>
        <w:rPr>
          <w:sz w:val="21"/>
          <w:szCs w:val="21"/>
        </w:rPr>
        <w:t xml:space="preserve">Worth scoping: a depth-of-burn proxy restricted to cells where a reference perimeter confirms a fire occurred; LiDAR or field peat-surface elevation change at burned sites; or water table depth as an intermediate outcome. The last is probably the fastest route to a defensible avoided-emissions number — restoration acts on the water table, the water table acts on burn depth, and establishing the first link needs site monitoring data rather than fires, which matters when four of six sites have had no post-restoration fire.</w:t>
      </w:r>
    </w:p>
    <w:p>
      <w:pPr>
        <w:pStyle w:val="Heading1"/>
        <w:pBdr>
          <w:bottom w:val="single" w:color="C7CFD4" w:sz="6" w:space="6"/>
        </w:pBdr>
        <w:spacing w:after="170" w:before="380"/>
      </w:pPr>
      <w:r>
        <w:rPr>
          <w:b/>
          <w:bCs/>
          <w:color w:val="1F4E5F"/>
          <w:sz w:val="30"/>
          <w:szCs w:val="30"/>
        </w:rPr>
        <w:t xml:space="preserve">7.  Key assumptions and limitations</w:t>
      </w:r>
    </w:p>
    <w:p>
      <w:pPr>
        <w:pStyle w:val="ListParagraph"/>
        <w:numPr>
          <w:ilvl w:val="0"/>
          <w:numId w:val="3"/>
        </w:numPr>
        <w:spacing w:after="80" w:line="276"/>
      </w:pPr>
      <w:r>
        <w:rPr>
          <w:sz w:val="21"/>
          <w:szCs w:val="21"/>
        </w:rPr>
        <w:t xml:space="preserve">Few clusters. Six restoration sites, against a rule of thumb of thirty. Even site-clustered intervals are optimistic.</w:t>
      </w:r>
    </w:p>
    <w:p>
      <w:pPr>
        <w:pStyle w:val="ListParagraph"/>
        <w:numPr>
          <w:ilvl w:val="0"/>
          <w:numId w:val="3"/>
        </w:numPr>
        <w:spacing w:after="80" w:line="276"/>
      </w:pPr>
      <w:r>
        <w:rPr>
          <w:sz w:val="21"/>
          <w:szCs w:val="21"/>
        </w:rPr>
        <w:t xml:space="preserve">Conditional parallel trends is not directly testable, and its pre-treatment proxy fails here. If sites were selected partly because they had recently burned or were visibly degraded, adding covariates does not repair that.</w:t>
      </w:r>
    </w:p>
    <w:p>
      <w:pPr>
        <w:pStyle w:val="ListParagraph"/>
        <w:numPr>
          <w:ilvl w:val="0"/>
          <w:numId w:val="3"/>
        </w:numPr>
        <w:spacing w:after="80" w:line="276"/>
      </w:pPr>
      <w:r>
        <w:rPr>
          <w:sz w:val="21"/>
          <w:szCs w:val="21"/>
        </w:rPr>
        <w:t xml:space="preserve">Controls are matched landscape peat rather than the within-buffer donut Castro et al. use, so identification leans harder on match quality. The event-time match leaves drainage at |SMD| = 0.131, above the 0.1 threshold.</w:t>
      </w:r>
    </w:p>
    <w:p>
      <w:pPr>
        <w:pStyle w:val="ListParagraph"/>
        <w:numPr>
          <w:ilvl w:val="0"/>
          <w:numId w:val="3"/>
        </w:numPr>
        <w:spacing w:after="80" w:line="276"/>
      </w:pPr>
      <w:r>
        <w:rPr>
          <w:sz w:val="21"/>
          <w:szCs w:val="21"/>
        </w:rPr>
        <w:t xml:space="preserve">soil_water_table_depth had to be excluded for a positivity failure; adding further covariates would worsen overlap rather than improve adjustment.</w:t>
      </w:r>
    </w:p>
    <w:p>
      <w:pPr>
        <w:pStyle w:val="ListParagraph"/>
        <w:numPr>
          <w:ilvl w:val="0"/>
          <w:numId w:val="3"/>
        </w:numPr>
        <w:spacing w:after="80" w:line="276"/>
      </w:pPr>
      <w:r>
        <w:rPr>
          <w:sz w:val="21"/>
          <w:szCs w:val="21"/>
        </w:rPr>
        <w:t xml:space="preserve">Outcome under-detection. MCD64A1 misses roughly 93% of small TNC burns, so low-intensity fire is systematically absent from the outcome variable.</w:t>
      </w:r>
    </w:p>
    <w:p>
      <w:pPr>
        <w:pStyle w:val="ListParagraph"/>
        <w:numPr>
          <w:ilvl w:val="0"/>
          <w:numId w:val="3"/>
        </w:numPr>
        <w:spacing w:after="80" w:line="276"/>
      </w:pPr>
      <w:r>
        <w:rPr>
          <w:sz w:val="21"/>
          <w:szCs w:val="21"/>
        </w:rPr>
        <w:t xml:space="preserve">Burned area measures extent, not depth, and restoration is expected to act on depth (§6.3).</w:t>
      </w:r>
    </w:p>
    <w:p>
      <w:pPr>
        <w:pStyle w:val="Heading1"/>
        <w:pBdr>
          <w:bottom w:val="single" w:color="C7CFD4" w:sz="6" w:space="6"/>
        </w:pBdr>
        <w:spacing w:after="170" w:before="380"/>
      </w:pPr>
      <w:r>
        <w:rPr>
          <w:b/>
          <w:bCs/>
          <w:color w:val="1F4E5F"/>
          <w:sz w:val="30"/>
          <w:szCs w:val="30"/>
        </w:rPr>
        <w:t xml:space="preserve">References</w:t>
      </w:r>
    </w:p>
    <w:p>
      <w:pPr>
        <w:spacing w:after="110" w:line="264"/>
        <w:ind w:left="360" w:hanging="360"/>
      </w:pPr>
      <w:r>
        <w:rPr>
          <w:sz w:val="19"/>
          <w:szCs w:val="19"/>
        </w:rPr>
        <w:t xml:space="preserve">Callaway, B., &amp; Sant'Anna, P. H. C. (2021). Difference-in-differences with multiple time periods. Journal of Econometrics, 225(2), 200–230.</w:t>
      </w:r>
    </w:p>
    <w:p>
      <w:pPr>
        <w:spacing w:after="110" w:line="264"/>
        <w:ind w:left="360" w:hanging="360"/>
      </w:pPr>
      <w:r>
        <w:rPr>
          <w:sz w:val="19"/>
          <w:szCs w:val="19"/>
        </w:rPr>
        <w:t xml:space="preserve">Castro, M., Ritonga, R., Masuda, Y., Asyhari, A., Novita, N., Gangga, A., Erbaugh, J., Cheptoo, G., Yeo, S., &amp; Leavitt, S. (2026). Effective restoration can avoid peatland fires: large-scale counterfactual assessment in Kalimantan, Indonesia. iScience, 29(6), 116041.</w:t>
      </w:r>
    </w:p>
    <w:p>
      <w:pPr>
        <w:spacing w:after="110" w:line="264"/>
        <w:ind w:left="360" w:hanging="360"/>
      </w:pPr>
      <w:r>
        <w:rPr>
          <w:sz w:val="19"/>
          <w:szCs w:val="19"/>
        </w:rPr>
        <w:t xml:space="preserve">Reardon, J., Hungerford, R., &amp; Ryan, K. (2007). Factors affecting sustained smouldering in organic soils from pocosin and pond pine woodland wetlands. International Journal of Wildland Fire, 16(1), 107–118.</w:t>
      </w:r>
    </w:p>
    <w:p>
      <w:pPr>
        <w:spacing w:after="110" w:line="264"/>
        <w:ind w:left="360" w:hanging="360"/>
      </w:pPr>
      <w:r>
        <w:rPr>
          <w:sz w:val="19"/>
          <w:szCs w:val="19"/>
        </w:rPr>
        <w:t xml:space="preserve">Richardson, C. J., Flanagan, N. E., Wang, H., &amp; Ho, M. (2022). Annual carbon sequestration and loss rates under altered hydrology and fire regimes in southeastern USA pocosin peatlands. Global Change Biology, 28(21), 6370–6384.</w:t>
      </w:r>
    </w:p>
    <w:p>
      <w:pPr>
        <w:spacing w:after="110" w:line="264"/>
        <w:ind w:left="360" w:hanging="360"/>
      </w:pPr>
      <w:r>
        <w:rPr>
          <w:sz w:val="19"/>
          <w:szCs w:val="19"/>
        </w:rPr>
        <w:t xml:space="preserve">Sant'Anna, P. H. C., &amp; Zhao, J. (2020). Doubly robust difference-in-differences estimators. Journal of Econometrics, 219(1), 101–122.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4943506058cb578da9e1244024d63464164a386.png"/><Relationship Id="rId8" Type="http://schemas.openxmlformats.org/officeDocument/2006/relationships/image" Target="media/e139769c94c3cfa1760d5bbcb2e9dd345620bfbc.png"/><Relationship Id="rId9" Type="http://schemas.openxmlformats.org/officeDocument/2006/relationships/image" Target="media/e41c8d420c91a69c2f842c9b1bf02659843e8a1f.png"/><Relationship Id="rId10" Type="http://schemas.openxmlformats.org/officeDocument/2006/relationships/image" Target="media/256b29226051d8b7e0119887af67fd21347a6176.png"/><Relationship Id="rId11" Type="http://schemas.openxmlformats.org/officeDocument/2006/relationships/image" Target="media/000724ec9ad697ca24a3c91fb8747a3522f83376.png"/><Relationship Id="rId12" Type="http://schemas.openxmlformats.org/officeDocument/2006/relationships/image" Target="media/f8918de756c3c401bbf6637c738d98dcfcec7a8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Wildfire risk in North Carolina peatlands and the effect of restoration on burned area</dc:title>
  <dc:creator>Jim Zhang</dc:creator>
  <dc:description>Interim project report for The Nature Conservancy</dc:description>
  <cp:lastModifiedBy>Un-named</cp:lastModifiedBy>
  <cp:revision>1</cp:revision>
  <dcterms:created xsi:type="dcterms:W3CDTF">2026-09-12T14:21:08.170Z</dcterms:created>
  <dcterms:modified xsi:type="dcterms:W3CDTF">2026-09-12T14:21:08.170Z</dcterms:modified>
</cp:coreProperties>
</file>

<file path=docProps/custom.xml><?xml version="1.0" encoding="utf-8"?>
<Properties xmlns="http://schemas.openxmlformats.org/officeDocument/2006/custom-properties" xmlns:vt="http://schemas.openxmlformats.org/officeDocument/2006/docPropsVTypes"/>
</file>