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Calibri" w:hAnsi="Calibri"/>
          <w:sz w:val="21"/>
        </w:rPr>
        <w:t>Chi-Square Validation Summary for Scenario-Type Distributions Across LLMs</w:t>
      </w:r>
    </w:p>
    <w:p>
      <w:pPr>
        <w:pStyle w:val="Heading1"/>
      </w:pPr>
      <w:r>
        <w:rPr>
          <w:rFonts w:ascii="Calibri" w:hAnsi="Calibri"/>
          <w:sz w:val="21"/>
        </w:rPr>
        <w:t>Purpose</w:t>
      </w:r>
    </w:p>
    <w:p>
      <w:r>
        <w:rPr>
          <w:rFonts w:ascii="Calibri" w:hAnsi="Calibri"/>
          <w:sz w:val="21"/>
        </w:rPr>
        <w:t>This analysis was conducted to examine whether different large language models (LLMs) produced statistically different distributions of scenario types. The validation focuses on the association between the model used and the categorical scenario type generated in the simulation outputs.</w:t>
      </w:r>
    </w:p>
    <w:p>
      <w:pPr>
        <w:pStyle w:val="Heading1"/>
      </w:pPr>
      <w:r>
        <w:rPr>
          <w:rFonts w:ascii="Calibri" w:hAnsi="Calibri"/>
          <w:sz w:val="21"/>
        </w:rPr>
        <w:t>Data Sources</w:t>
      </w:r>
    </w:p>
    <w:p>
      <w:r>
        <w:rPr>
          <w:rFonts w:ascii="Calibri" w:hAnsi="Calibri"/>
          <w:sz w:val="21"/>
        </w:rPr>
        <w:t>Four Excel workbooks were included in the updated analysis: gemini.xlsx, GPT.xlsx, opus 4.xlsx, and Perplexity.xlsx. Rows were included when the Scenario_Type column was available and non-missing. For the primary analysis, non-missing Model values were used exactly as recorded. For the corrected analysis, model labels were assigned from file identity so that all 120 analyzed scenario rows were retained.</w:t>
      </w:r>
    </w:p>
    <w:p>
      <w:pPr>
        <w:pStyle w:val="Heading1"/>
      </w:pPr>
      <w:r>
        <w:rPr>
          <w:rFonts w:ascii="Calibri" w:hAnsi="Calibri"/>
          <w:sz w:val="21"/>
        </w:rPr>
        <w:t>Statistical Method</w:t>
      </w:r>
    </w:p>
    <w:p>
      <w:r>
        <w:rPr>
          <w:rFonts w:ascii="Calibri" w:hAnsi="Calibri"/>
          <w:sz w:val="21"/>
        </w:rPr>
        <w:t>A chi-square test of independence was used to test whether the distribution of Scenario_Type differed by Model. The null hypothesis was that scenario type distribution is independent of model type, and the alternative hypothesis was that scenario type distribution differs by model type. The significance threshold was set at alpha = 0.05.</w:t>
      </w:r>
    </w:p>
    <w:p>
      <w:pPr>
        <w:pStyle w:val="Heading1"/>
      </w:pPr>
      <w:r>
        <w:rPr>
          <w:rFonts w:ascii="Calibri" w:hAnsi="Calibri"/>
          <w:sz w:val="21"/>
        </w:rPr>
        <w:t>Primary Analysis Using the Original Model Labels</w:t>
      </w:r>
    </w:p>
    <w:p>
      <w:r>
        <w:rPr>
          <w:rFonts w:ascii="Calibri" w:hAnsi="Calibri"/>
          <w:sz w:val="21"/>
        </w:rPr>
        <w:t>The first analysis used the Model values exactly as recorded in the Excel files. In this version, opus 4.xlsx contained 29 observations labeled as Claude and 1 observation labeled as Claude opus-4. Perplexity.xlsx contained only 1 valid observation labeled as Perplexity_Pro because 29 Model cells were blank.</w:t>
      </w:r>
    </w:p>
    <w:p>
      <w:pPr>
        <w:pStyle w:val="Heading2"/>
      </w:pPr>
      <w:r>
        <w:rPr>
          <w:rFonts w:ascii="Calibri" w:hAnsi="Calibri"/>
          <w:sz w:val="21"/>
        </w:rPr>
        <w:t>Contingency Table</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Model</w:t>
            </w:r>
          </w:p>
        </w:tc>
        <w:tc>
          <w:tcPr>
            <w:tcW w:type="dxa" w:w="1680"/>
          </w:tcPr>
          <w:p>
            <w:r>
              <w:t>Prolonged Stalemate</w:t>
            </w:r>
          </w:p>
        </w:tc>
        <w:tc>
          <w:tcPr>
            <w:tcW w:type="dxa" w:w="1680"/>
          </w:tcPr>
          <w:p>
            <w:r>
              <w:t>Internal Collapse</w:t>
            </w:r>
          </w:p>
        </w:tc>
        <w:tc>
          <w:tcPr>
            <w:tcW w:type="dxa" w:w="1680"/>
          </w:tcPr>
          <w:p>
            <w:r>
              <w:t>Diplomatic Resolution</w:t>
            </w:r>
          </w:p>
        </w:tc>
        <w:tc>
          <w:tcPr>
            <w:tcW w:type="dxa" w:w="1680"/>
          </w:tcPr>
          <w:p>
            <w:r>
              <w:t>Full-Scale War Escalation</w:t>
            </w:r>
          </w:p>
        </w:tc>
        <w:tc>
          <w:tcPr>
            <w:tcW w:type="dxa" w:w="1680"/>
          </w:tcPr>
          <w:p>
            <w:r>
              <w:t>Limited Local Clash</w:t>
            </w:r>
          </w:p>
        </w:tc>
      </w:tr>
      <w:tr>
        <w:tc>
          <w:tcPr>
            <w:tcW w:type="dxa" w:w="1680"/>
          </w:tcPr>
          <w:p>
            <w:r>
              <w:t>Claude</w:t>
            </w:r>
          </w:p>
        </w:tc>
        <w:tc>
          <w:tcPr>
            <w:tcW w:type="dxa" w:w="1680"/>
          </w:tcPr>
          <w:p>
            <w:r>
              <w:t>9</w:t>
            </w:r>
          </w:p>
        </w:tc>
        <w:tc>
          <w:tcPr>
            <w:tcW w:type="dxa" w:w="1680"/>
          </w:tcPr>
          <w:p>
            <w:r>
              <w:t>5</w:t>
            </w:r>
          </w:p>
        </w:tc>
        <w:tc>
          <w:tcPr>
            <w:tcW w:type="dxa" w:w="1680"/>
          </w:tcPr>
          <w:p>
            <w:r>
              <w:t>10</w:t>
            </w:r>
          </w:p>
        </w:tc>
        <w:tc>
          <w:tcPr>
            <w:tcW w:type="dxa" w:w="1680"/>
          </w:tcPr>
          <w:p>
            <w:r>
              <w:t>4</w:t>
            </w:r>
          </w:p>
        </w:tc>
        <w:tc>
          <w:tcPr>
            <w:tcW w:type="dxa" w:w="1680"/>
          </w:tcPr>
          <w:p>
            <w:r>
              <w:t>1</w:t>
            </w:r>
          </w:p>
        </w:tc>
      </w:tr>
      <w:tr>
        <w:tc>
          <w:tcPr>
            <w:tcW w:type="dxa" w:w="1680"/>
          </w:tcPr>
          <w:p>
            <w:r>
              <w:t>Claude opus-4</w:t>
            </w:r>
          </w:p>
        </w:tc>
        <w:tc>
          <w:tcPr>
            <w:tcW w:type="dxa" w:w="1680"/>
          </w:tcPr>
          <w:p>
            <w:r>
              <w:t>1</w:t>
            </w:r>
          </w:p>
        </w:tc>
        <w:tc>
          <w:tcPr>
            <w:tcW w:type="dxa" w:w="1680"/>
          </w:tcPr>
          <w:p>
            <w:r>
              <w:t>0</w:t>
            </w:r>
          </w:p>
        </w:tc>
        <w:tc>
          <w:tcPr>
            <w:tcW w:type="dxa" w:w="1680"/>
          </w:tcPr>
          <w:p>
            <w:r>
              <w:t>0</w:t>
            </w:r>
          </w:p>
        </w:tc>
        <w:tc>
          <w:tcPr>
            <w:tcW w:type="dxa" w:w="1680"/>
          </w:tcPr>
          <w:p>
            <w:r>
              <w:t>0</w:t>
            </w:r>
          </w:p>
        </w:tc>
        <w:tc>
          <w:tcPr>
            <w:tcW w:type="dxa" w:w="1680"/>
          </w:tcPr>
          <w:p>
            <w:r>
              <w:t>0</w:t>
            </w:r>
          </w:p>
        </w:tc>
      </w:tr>
      <w:tr>
        <w:tc>
          <w:tcPr>
            <w:tcW w:type="dxa" w:w="1680"/>
          </w:tcPr>
          <w:p>
            <w:r>
              <w:t>GPT</w:t>
            </w:r>
          </w:p>
        </w:tc>
        <w:tc>
          <w:tcPr>
            <w:tcW w:type="dxa" w:w="1680"/>
          </w:tcPr>
          <w:p>
            <w:r>
              <w:t>21</w:t>
            </w:r>
          </w:p>
        </w:tc>
        <w:tc>
          <w:tcPr>
            <w:tcW w:type="dxa" w:w="1680"/>
          </w:tcPr>
          <w:p>
            <w:r>
              <w:t>2</w:t>
            </w:r>
          </w:p>
        </w:tc>
        <w:tc>
          <w:tcPr>
            <w:tcW w:type="dxa" w:w="1680"/>
          </w:tcPr>
          <w:p>
            <w:r>
              <w:t>5</w:t>
            </w:r>
          </w:p>
        </w:tc>
        <w:tc>
          <w:tcPr>
            <w:tcW w:type="dxa" w:w="1680"/>
          </w:tcPr>
          <w:p>
            <w:r>
              <w:t>2</w:t>
            </w:r>
          </w:p>
        </w:tc>
        <w:tc>
          <w:tcPr>
            <w:tcW w:type="dxa" w:w="1680"/>
          </w:tcPr>
          <w:p>
            <w:r>
              <w:t>0</w:t>
            </w:r>
          </w:p>
        </w:tc>
      </w:tr>
      <w:tr>
        <w:tc>
          <w:tcPr>
            <w:tcW w:type="dxa" w:w="1680"/>
          </w:tcPr>
          <w:p>
            <w:r>
              <w:t>Gemini</w:t>
            </w:r>
          </w:p>
        </w:tc>
        <w:tc>
          <w:tcPr>
            <w:tcW w:type="dxa" w:w="1680"/>
          </w:tcPr>
          <w:p>
            <w:r>
              <w:t>7</w:t>
            </w:r>
          </w:p>
        </w:tc>
        <w:tc>
          <w:tcPr>
            <w:tcW w:type="dxa" w:w="1680"/>
          </w:tcPr>
          <w:p>
            <w:r>
              <w:t>2</w:t>
            </w:r>
          </w:p>
        </w:tc>
        <w:tc>
          <w:tcPr>
            <w:tcW w:type="dxa" w:w="1680"/>
          </w:tcPr>
          <w:p>
            <w:r>
              <w:t>13</w:t>
            </w:r>
          </w:p>
        </w:tc>
        <w:tc>
          <w:tcPr>
            <w:tcW w:type="dxa" w:w="1680"/>
          </w:tcPr>
          <w:p>
            <w:r>
              <w:t>8</w:t>
            </w:r>
          </w:p>
        </w:tc>
        <w:tc>
          <w:tcPr>
            <w:tcW w:type="dxa" w:w="1680"/>
          </w:tcPr>
          <w:p>
            <w:r>
              <w:t>0</w:t>
            </w:r>
          </w:p>
        </w:tc>
      </w:tr>
      <w:tr>
        <w:tc>
          <w:tcPr>
            <w:tcW w:type="dxa" w:w="1680"/>
          </w:tcPr>
          <w:p>
            <w:r>
              <w:t>Perplexity_Pro</w:t>
            </w:r>
          </w:p>
        </w:tc>
        <w:tc>
          <w:tcPr>
            <w:tcW w:type="dxa" w:w="1680"/>
          </w:tcPr>
          <w:p>
            <w:r>
              <w:t>0</w:t>
            </w:r>
          </w:p>
        </w:tc>
        <w:tc>
          <w:tcPr>
            <w:tcW w:type="dxa" w:w="1680"/>
          </w:tcPr>
          <w:p>
            <w:r>
              <w:t>0</w:t>
            </w:r>
          </w:p>
        </w:tc>
        <w:tc>
          <w:tcPr>
            <w:tcW w:type="dxa" w:w="1680"/>
          </w:tcPr>
          <w:p>
            <w:r>
              <w:t>0</w:t>
            </w:r>
          </w:p>
        </w:tc>
        <w:tc>
          <w:tcPr>
            <w:tcW w:type="dxa" w:w="1680"/>
          </w:tcPr>
          <w:p>
            <w:r>
              <w:t>1</w:t>
            </w:r>
          </w:p>
        </w:tc>
        <w:tc>
          <w:tcPr>
            <w:tcW w:type="dxa" w:w="1680"/>
          </w:tcPr>
          <w:p>
            <w:r>
              <w:t>0</w:t>
            </w:r>
          </w:p>
        </w:tc>
      </w:tr>
    </w:tbl>
    <w:p>
      <w:pPr>
        <w:pStyle w:val="Heading2"/>
      </w:pPr>
      <w:r>
        <w:rPr>
          <w:rFonts w:ascii="Calibri" w:hAnsi="Calibri"/>
          <w:sz w:val="21"/>
        </w:rPr>
        <w:t>Test Result</w:t>
      </w:r>
    </w:p>
    <w:tbl>
      <w:tblPr>
        <w:tblStyle w:val="TableGrid"/>
        <w:tblW w:type="auto" w:w="0"/>
        <w:tblLook w:firstColumn="1" w:firstRow="1" w:lastColumn="0" w:lastRow="0" w:noHBand="0" w:noVBand="1" w:val="04A0"/>
      </w:tblPr>
      <w:tblGrid>
        <w:gridCol w:w="5040"/>
        <w:gridCol w:w="5040"/>
      </w:tblGrid>
      <w:tr>
        <w:tc>
          <w:tcPr>
            <w:tcW w:type="dxa" w:w="5040"/>
          </w:tcPr>
          <w:p>
            <w:r>
              <w:t>Statistic</w:t>
            </w:r>
          </w:p>
        </w:tc>
        <w:tc>
          <w:tcPr>
            <w:tcW w:type="dxa" w:w="5040"/>
          </w:tcPr>
          <w:p>
            <w:r>
              <w:t>Value</w:t>
            </w:r>
          </w:p>
        </w:tc>
      </w:tr>
      <w:tr>
        <w:tc>
          <w:tcPr>
            <w:tcW w:type="dxa" w:w="5040"/>
          </w:tcPr>
          <w:p>
            <w:r>
              <w:t>Chi-square statistic</w:t>
            </w:r>
          </w:p>
        </w:tc>
        <w:tc>
          <w:tcPr>
            <w:tcW w:type="dxa" w:w="5040"/>
          </w:tcPr>
          <w:p>
            <w:r>
              <w:t>27.1367</w:t>
            </w:r>
          </w:p>
        </w:tc>
      </w:tr>
      <w:tr>
        <w:tc>
          <w:tcPr>
            <w:tcW w:type="dxa" w:w="5040"/>
          </w:tcPr>
          <w:p>
            <w:r>
              <w:t>Degrees of freedom</w:t>
            </w:r>
          </w:p>
        </w:tc>
        <w:tc>
          <w:tcPr>
            <w:tcW w:type="dxa" w:w="5040"/>
          </w:tcPr>
          <w:p>
            <w:r>
              <w:t>16</w:t>
            </w:r>
          </w:p>
        </w:tc>
      </w:tr>
      <w:tr>
        <w:tc>
          <w:tcPr>
            <w:tcW w:type="dxa" w:w="5040"/>
          </w:tcPr>
          <w:p>
            <w:r>
              <w:t>P-value</w:t>
            </w:r>
          </w:p>
        </w:tc>
        <w:tc>
          <w:tcPr>
            <w:tcW w:type="dxa" w:w="5040"/>
          </w:tcPr>
          <w:p>
            <w:r>
              <w:t>0.039989</w:t>
            </w:r>
          </w:p>
        </w:tc>
      </w:tr>
    </w:tbl>
    <w:p>
      <w:r>
        <w:rPr>
          <w:rFonts w:ascii="Calibri" w:hAnsi="Calibri"/>
          <w:sz w:val="21"/>
        </w:rPr>
        <w:t>The chi-square test was statistically significant, X^2(16, N = 91) = 27.1367, p = 0.039989. Therefore, the null hypothesis of independence was rejected at the 0.05 significance level.</w:t>
      </w:r>
    </w:p>
    <w:p>
      <w:pPr>
        <w:pStyle w:val="Heading1"/>
      </w:pPr>
      <w:r>
        <w:rPr>
          <w:rFonts w:ascii="Calibri" w:hAnsi="Calibri"/>
          <w:sz w:val="21"/>
        </w:rPr>
        <w:t>Corrected Analysis Using File-Based Model Labels</w:t>
      </w:r>
    </w:p>
    <w:p>
      <w:r>
        <w:rPr>
          <w:rFonts w:ascii="Calibri" w:hAnsi="Calibri"/>
          <w:sz w:val="21"/>
        </w:rPr>
        <w:t>Because Perplexity.xlsx had blank Model values in 29 of its 30 rows and opus 4.xlsx contained mixed model labels despite representing a single output file, the corrected analysis assigned model labels based on file identity: gemini.xlsx as Gemini, GPT.xlsx as GPT, opus 4.xlsx as Opus 4, and Perplexity.xlsx as Perplexity. This corrected analysis retained all 120 scenario observations.</w:t>
      </w:r>
    </w:p>
    <w:p>
      <w:pPr>
        <w:pStyle w:val="Heading2"/>
      </w:pPr>
      <w:r>
        <w:rPr>
          <w:rFonts w:ascii="Calibri" w:hAnsi="Calibri"/>
          <w:sz w:val="21"/>
        </w:rPr>
        <w:t>Contingency Table</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Model</w:t>
            </w:r>
          </w:p>
        </w:tc>
        <w:tc>
          <w:tcPr>
            <w:tcW w:type="dxa" w:w="1680"/>
          </w:tcPr>
          <w:p>
            <w:r>
              <w:t>Prolonged Stalemate</w:t>
            </w:r>
          </w:p>
        </w:tc>
        <w:tc>
          <w:tcPr>
            <w:tcW w:type="dxa" w:w="1680"/>
          </w:tcPr>
          <w:p>
            <w:r>
              <w:t>Internal Collapse</w:t>
            </w:r>
          </w:p>
        </w:tc>
        <w:tc>
          <w:tcPr>
            <w:tcW w:type="dxa" w:w="1680"/>
          </w:tcPr>
          <w:p>
            <w:r>
              <w:t>Diplomatic Resolution</w:t>
            </w:r>
          </w:p>
        </w:tc>
        <w:tc>
          <w:tcPr>
            <w:tcW w:type="dxa" w:w="1680"/>
          </w:tcPr>
          <w:p>
            <w:r>
              <w:t>Full-Scale War Escalation</w:t>
            </w:r>
          </w:p>
        </w:tc>
        <w:tc>
          <w:tcPr>
            <w:tcW w:type="dxa" w:w="1680"/>
          </w:tcPr>
          <w:p>
            <w:r>
              <w:t>Limited Local Clash</w:t>
            </w:r>
          </w:p>
        </w:tc>
      </w:tr>
      <w:tr>
        <w:tc>
          <w:tcPr>
            <w:tcW w:type="dxa" w:w="1680"/>
          </w:tcPr>
          <w:p>
            <w:r>
              <w:t>GPT</w:t>
            </w:r>
          </w:p>
        </w:tc>
        <w:tc>
          <w:tcPr>
            <w:tcW w:type="dxa" w:w="1680"/>
          </w:tcPr>
          <w:p>
            <w:r>
              <w:t>21</w:t>
            </w:r>
          </w:p>
        </w:tc>
        <w:tc>
          <w:tcPr>
            <w:tcW w:type="dxa" w:w="1680"/>
          </w:tcPr>
          <w:p>
            <w:r>
              <w:t>2</w:t>
            </w:r>
          </w:p>
        </w:tc>
        <w:tc>
          <w:tcPr>
            <w:tcW w:type="dxa" w:w="1680"/>
          </w:tcPr>
          <w:p>
            <w:r>
              <w:t>5</w:t>
            </w:r>
          </w:p>
        </w:tc>
        <w:tc>
          <w:tcPr>
            <w:tcW w:type="dxa" w:w="1680"/>
          </w:tcPr>
          <w:p>
            <w:r>
              <w:t>2</w:t>
            </w:r>
          </w:p>
        </w:tc>
        <w:tc>
          <w:tcPr>
            <w:tcW w:type="dxa" w:w="1680"/>
          </w:tcPr>
          <w:p>
            <w:r>
              <w:t>0</w:t>
            </w:r>
          </w:p>
        </w:tc>
      </w:tr>
      <w:tr>
        <w:tc>
          <w:tcPr>
            <w:tcW w:type="dxa" w:w="1680"/>
          </w:tcPr>
          <w:p>
            <w:r>
              <w:t>Gemini</w:t>
            </w:r>
          </w:p>
        </w:tc>
        <w:tc>
          <w:tcPr>
            <w:tcW w:type="dxa" w:w="1680"/>
          </w:tcPr>
          <w:p>
            <w:r>
              <w:t>7</w:t>
            </w:r>
          </w:p>
        </w:tc>
        <w:tc>
          <w:tcPr>
            <w:tcW w:type="dxa" w:w="1680"/>
          </w:tcPr>
          <w:p>
            <w:r>
              <w:t>2</w:t>
            </w:r>
          </w:p>
        </w:tc>
        <w:tc>
          <w:tcPr>
            <w:tcW w:type="dxa" w:w="1680"/>
          </w:tcPr>
          <w:p>
            <w:r>
              <w:t>13</w:t>
            </w:r>
          </w:p>
        </w:tc>
        <w:tc>
          <w:tcPr>
            <w:tcW w:type="dxa" w:w="1680"/>
          </w:tcPr>
          <w:p>
            <w:r>
              <w:t>8</w:t>
            </w:r>
          </w:p>
        </w:tc>
        <w:tc>
          <w:tcPr>
            <w:tcW w:type="dxa" w:w="1680"/>
          </w:tcPr>
          <w:p>
            <w:r>
              <w:t>0</w:t>
            </w:r>
          </w:p>
        </w:tc>
      </w:tr>
      <w:tr>
        <w:tc>
          <w:tcPr>
            <w:tcW w:type="dxa" w:w="1680"/>
          </w:tcPr>
          <w:p>
            <w:r>
              <w:t>Opus 4</w:t>
            </w:r>
          </w:p>
        </w:tc>
        <w:tc>
          <w:tcPr>
            <w:tcW w:type="dxa" w:w="1680"/>
          </w:tcPr>
          <w:p>
            <w:r>
              <w:t>10</w:t>
            </w:r>
          </w:p>
        </w:tc>
        <w:tc>
          <w:tcPr>
            <w:tcW w:type="dxa" w:w="1680"/>
          </w:tcPr>
          <w:p>
            <w:r>
              <w:t>5</w:t>
            </w:r>
          </w:p>
        </w:tc>
        <w:tc>
          <w:tcPr>
            <w:tcW w:type="dxa" w:w="1680"/>
          </w:tcPr>
          <w:p>
            <w:r>
              <w:t>10</w:t>
            </w:r>
          </w:p>
        </w:tc>
        <w:tc>
          <w:tcPr>
            <w:tcW w:type="dxa" w:w="1680"/>
          </w:tcPr>
          <w:p>
            <w:r>
              <w:t>4</w:t>
            </w:r>
          </w:p>
        </w:tc>
        <w:tc>
          <w:tcPr>
            <w:tcW w:type="dxa" w:w="1680"/>
          </w:tcPr>
          <w:p>
            <w:r>
              <w:t>1</w:t>
            </w:r>
          </w:p>
        </w:tc>
      </w:tr>
      <w:tr>
        <w:tc>
          <w:tcPr>
            <w:tcW w:type="dxa" w:w="1680"/>
          </w:tcPr>
          <w:p>
            <w:r>
              <w:t>Perplexity</w:t>
            </w:r>
          </w:p>
        </w:tc>
        <w:tc>
          <w:tcPr>
            <w:tcW w:type="dxa" w:w="1680"/>
          </w:tcPr>
          <w:p>
            <w:r>
              <w:t>2</w:t>
            </w:r>
          </w:p>
        </w:tc>
        <w:tc>
          <w:tcPr>
            <w:tcW w:type="dxa" w:w="1680"/>
          </w:tcPr>
          <w:p>
            <w:r>
              <w:t>0</w:t>
            </w:r>
          </w:p>
        </w:tc>
        <w:tc>
          <w:tcPr>
            <w:tcW w:type="dxa" w:w="1680"/>
          </w:tcPr>
          <w:p>
            <w:r>
              <w:t>7</w:t>
            </w:r>
          </w:p>
        </w:tc>
        <w:tc>
          <w:tcPr>
            <w:tcW w:type="dxa" w:w="1680"/>
          </w:tcPr>
          <w:p>
            <w:r>
              <w:t>21</w:t>
            </w:r>
          </w:p>
        </w:tc>
        <w:tc>
          <w:tcPr>
            <w:tcW w:type="dxa" w:w="1680"/>
          </w:tcPr>
          <w:p>
            <w:r>
              <w:t>0</w:t>
            </w:r>
          </w:p>
        </w:tc>
      </w:tr>
    </w:tbl>
    <w:p>
      <w:pPr>
        <w:pStyle w:val="Heading2"/>
      </w:pPr>
      <w:r>
        <w:rPr>
          <w:rFonts w:ascii="Calibri" w:hAnsi="Calibri"/>
          <w:sz w:val="21"/>
        </w:rPr>
        <w:t>Test Result</w:t>
      </w:r>
    </w:p>
    <w:tbl>
      <w:tblPr>
        <w:tblStyle w:val="TableGrid"/>
        <w:tblW w:type="auto" w:w="0"/>
        <w:tblLook w:firstColumn="1" w:firstRow="1" w:lastColumn="0" w:lastRow="0" w:noHBand="0" w:noVBand="1" w:val="04A0"/>
      </w:tblPr>
      <w:tblGrid>
        <w:gridCol w:w="5040"/>
        <w:gridCol w:w="5040"/>
      </w:tblGrid>
      <w:tr>
        <w:tc>
          <w:tcPr>
            <w:tcW w:type="dxa" w:w="5040"/>
          </w:tcPr>
          <w:p>
            <w:r>
              <w:t>Statistic</w:t>
            </w:r>
          </w:p>
        </w:tc>
        <w:tc>
          <w:tcPr>
            <w:tcW w:type="dxa" w:w="5040"/>
          </w:tcPr>
          <w:p>
            <w:r>
              <w:t>Value</w:t>
            </w:r>
          </w:p>
        </w:tc>
      </w:tr>
      <w:tr>
        <w:tc>
          <w:tcPr>
            <w:tcW w:type="dxa" w:w="5040"/>
          </w:tcPr>
          <w:p>
            <w:r>
              <w:t>Chi-square statistic</w:t>
            </w:r>
          </w:p>
        </w:tc>
        <w:tc>
          <w:tcPr>
            <w:tcW w:type="dxa" w:w="5040"/>
          </w:tcPr>
          <w:p>
            <w:r>
              <w:t>57.2667</w:t>
            </w:r>
          </w:p>
        </w:tc>
      </w:tr>
      <w:tr>
        <w:tc>
          <w:tcPr>
            <w:tcW w:type="dxa" w:w="5040"/>
          </w:tcPr>
          <w:p>
            <w:r>
              <w:t>Degrees of freedom</w:t>
            </w:r>
          </w:p>
        </w:tc>
        <w:tc>
          <w:tcPr>
            <w:tcW w:type="dxa" w:w="5040"/>
          </w:tcPr>
          <w:p>
            <w:r>
              <w:t>12</w:t>
            </w:r>
          </w:p>
        </w:tc>
      </w:tr>
      <w:tr>
        <w:tc>
          <w:tcPr>
            <w:tcW w:type="dxa" w:w="5040"/>
          </w:tcPr>
          <w:p>
            <w:r>
              <w:t>P-value</w:t>
            </w:r>
          </w:p>
        </w:tc>
        <w:tc>
          <w:tcPr>
            <w:tcW w:type="dxa" w:w="5040"/>
          </w:tcPr>
          <w:p>
            <w:r>
              <w:t>0.000000</w:t>
            </w:r>
          </w:p>
        </w:tc>
      </w:tr>
    </w:tbl>
    <w:p>
      <w:r>
        <w:rPr>
          <w:rFonts w:ascii="Calibri" w:hAnsi="Calibri"/>
          <w:sz w:val="21"/>
        </w:rPr>
        <w:t>The corrected analysis also produced a statistically significant result, X^2(12, N = 120) = 57.2667, p = 0.000000. This confirms that the observed association between model type and scenario type remains statistically significant when all analyzed rows are retained through file-based model labeling.</w:t>
      </w:r>
    </w:p>
    <w:p>
      <w:pPr>
        <w:pStyle w:val="Heading1"/>
      </w:pPr>
      <w:r>
        <w:rPr>
          <w:rFonts w:ascii="Calibri" w:hAnsi="Calibri"/>
          <w:sz w:val="21"/>
        </w:rPr>
        <w:t>Data Quality Check</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File</w:t>
            </w:r>
          </w:p>
        </w:tc>
        <w:tc>
          <w:tcPr>
            <w:tcW w:type="dxa" w:w="1680"/>
          </w:tcPr>
          <w:p>
            <w:r>
              <w:t>Sheet</w:t>
            </w:r>
          </w:p>
        </w:tc>
        <w:tc>
          <w:tcPr>
            <w:tcW w:type="dxa" w:w="1680"/>
          </w:tcPr>
          <w:p>
            <w:r>
              <w:t>Rows</w:t>
            </w:r>
          </w:p>
        </w:tc>
        <w:tc>
          <w:tcPr>
            <w:tcW w:type="dxa" w:w="1680"/>
          </w:tcPr>
          <w:p>
            <w:r>
              <w:t>Rows with Scenario_Type</w:t>
            </w:r>
          </w:p>
        </w:tc>
        <w:tc>
          <w:tcPr>
            <w:tcW w:type="dxa" w:w="1680"/>
          </w:tcPr>
          <w:p>
            <w:r>
              <w:t>Rows with Model</w:t>
            </w:r>
          </w:p>
        </w:tc>
        <w:tc>
          <w:tcPr>
            <w:tcW w:type="dxa" w:w="1680"/>
          </w:tcPr>
          <w:p>
            <w:r>
              <w:t>Model value counts</w:t>
            </w:r>
          </w:p>
        </w:tc>
      </w:tr>
      <w:tr>
        <w:tc>
          <w:tcPr>
            <w:tcW w:type="dxa" w:w="1680"/>
          </w:tcPr>
          <w:p>
            <w:r>
              <w:t>gemini.xlsx</w:t>
            </w:r>
          </w:p>
        </w:tc>
        <w:tc>
          <w:tcPr>
            <w:tcW w:type="dxa" w:w="1680"/>
          </w:tcPr>
          <w:p>
            <w:r>
              <w:t>Sheet1</w:t>
            </w:r>
          </w:p>
        </w:tc>
        <w:tc>
          <w:tcPr>
            <w:tcW w:type="dxa" w:w="1680"/>
          </w:tcPr>
          <w:p>
            <w:r>
              <w:t>30</w:t>
            </w:r>
          </w:p>
        </w:tc>
        <w:tc>
          <w:tcPr>
            <w:tcW w:type="dxa" w:w="1680"/>
          </w:tcPr>
          <w:p>
            <w:r>
              <w:t>30</w:t>
            </w:r>
          </w:p>
        </w:tc>
        <w:tc>
          <w:tcPr>
            <w:tcW w:type="dxa" w:w="1680"/>
          </w:tcPr>
          <w:p>
            <w:r>
              <w:t>30</w:t>
            </w:r>
          </w:p>
        </w:tc>
        <w:tc>
          <w:tcPr>
            <w:tcW w:type="dxa" w:w="1680"/>
          </w:tcPr>
          <w:p>
            <w:r>
              <w:t>Gemini: 30</w:t>
            </w:r>
          </w:p>
        </w:tc>
      </w:tr>
      <w:tr>
        <w:tc>
          <w:tcPr>
            <w:tcW w:type="dxa" w:w="1680"/>
          </w:tcPr>
          <w:p>
            <w:r>
              <w:t>GPT.xlsx</w:t>
            </w:r>
          </w:p>
        </w:tc>
        <w:tc>
          <w:tcPr>
            <w:tcW w:type="dxa" w:w="1680"/>
          </w:tcPr>
          <w:p>
            <w:r>
              <w:t>나머지 10개 이제 gpt도 분석해줘.</w:t>
            </w:r>
          </w:p>
        </w:tc>
        <w:tc>
          <w:tcPr>
            <w:tcW w:type="dxa" w:w="1680"/>
          </w:tcPr>
          <w:p>
            <w:r>
              <w:t>30</w:t>
            </w:r>
          </w:p>
        </w:tc>
        <w:tc>
          <w:tcPr>
            <w:tcW w:type="dxa" w:w="1680"/>
          </w:tcPr>
          <w:p>
            <w:r>
              <w:t>30</w:t>
            </w:r>
          </w:p>
        </w:tc>
        <w:tc>
          <w:tcPr>
            <w:tcW w:type="dxa" w:w="1680"/>
          </w:tcPr>
          <w:p>
            <w:r>
              <w:t>30</w:t>
            </w:r>
          </w:p>
        </w:tc>
        <w:tc>
          <w:tcPr>
            <w:tcW w:type="dxa" w:w="1680"/>
          </w:tcPr>
          <w:p>
            <w:r>
              <w:t>GPT: 30</w:t>
            </w:r>
          </w:p>
        </w:tc>
      </w:tr>
      <w:tr>
        <w:tc>
          <w:tcPr>
            <w:tcW w:type="dxa" w:w="1680"/>
          </w:tcPr>
          <w:p>
            <w:r>
              <w:t>opus 4.xlsx</w:t>
            </w:r>
          </w:p>
        </w:tc>
        <w:tc>
          <w:tcPr>
            <w:tcW w:type="dxa" w:w="1680"/>
          </w:tcPr>
          <w:p>
            <w:r>
              <w:t>Sheet1</w:t>
            </w:r>
          </w:p>
        </w:tc>
        <w:tc>
          <w:tcPr>
            <w:tcW w:type="dxa" w:w="1680"/>
          </w:tcPr>
          <w:p>
            <w:r>
              <w:t>30</w:t>
            </w:r>
          </w:p>
        </w:tc>
        <w:tc>
          <w:tcPr>
            <w:tcW w:type="dxa" w:w="1680"/>
          </w:tcPr>
          <w:p>
            <w:r>
              <w:t>30</w:t>
            </w:r>
          </w:p>
        </w:tc>
        <w:tc>
          <w:tcPr>
            <w:tcW w:type="dxa" w:w="1680"/>
          </w:tcPr>
          <w:p>
            <w:r>
              <w:t>30</w:t>
            </w:r>
          </w:p>
        </w:tc>
        <w:tc>
          <w:tcPr>
            <w:tcW w:type="dxa" w:w="1680"/>
          </w:tcPr>
          <w:p>
            <w:r>
              <w:t>Claude: 29, Claude opus-4: 1</w:t>
            </w:r>
          </w:p>
        </w:tc>
      </w:tr>
      <w:tr>
        <w:tc>
          <w:tcPr>
            <w:tcW w:type="dxa" w:w="1680"/>
          </w:tcPr>
          <w:p>
            <w:r>
              <w:t>Perplexity.xlsx</w:t>
            </w:r>
          </w:p>
        </w:tc>
        <w:tc>
          <w:tcPr>
            <w:tcW w:type="dxa" w:w="1680"/>
          </w:tcPr>
          <w:p>
            <w:r>
              <w:t>Sheet1</w:t>
            </w:r>
          </w:p>
        </w:tc>
        <w:tc>
          <w:tcPr>
            <w:tcW w:type="dxa" w:w="1680"/>
          </w:tcPr>
          <w:p>
            <w:r>
              <w:t>30</w:t>
            </w:r>
          </w:p>
        </w:tc>
        <w:tc>
          <w:tcPr>
            <w:tcW w:type="dxa" w:w="1680"/>
          </w:tcPr>
          <w:p>
            <w:r>
              <w:t>30</w:t>
            </w:r>
          </w:p>
        </w:tc>
        <w:tc>
          <w:tcPr>
            <w:tcW w:type="dxa" w:w="1680"/>
          </w:tcPr>
          <w:p>
            <w:r>
              <w:t>1</w:t>
            </w:r>
          </w:p>
        </w:tc>
        <w:tc>
          <w:tcPr>
            <w:tcW w:type="dxa" w:w="1680"/>
          </w:tcPr>
          <w:p>
            <w:r>
              <w:t>nan: 29, Perplexity_Pro: 1</w:t>
            </w:r>
          </w:p>
        </w:tc>
      </w:tr>
    </w:tbl>
    <w:p>
      <w:pPr>
        <w:pStyle w:val="Heading1"/>
      </w:pPr>
      <w:r>
        <w:rPr>
          <w:rFonts w:ascii="Calibri" w:hAnsi="Calibri"/>
          <w:sz w:val="21"/>
        </w:rPr>
        <w:t>Manuscript-Ready Summary</w:t>
      </w:r>
    </w:p>
    <w:p>
      <w:r>
        <w:rPr>
          <w:rFonts w:ascii="Calibri" w:hAnsi="Calibri"/>
          <w:sz w:val="21"/>
        </w:rPr>
        <w:t>A chi-square test of independence was conducted to examine whether scenario-type distributions differed across LLMs. Using the original model labels recorded in the dataset, the association between model and scenario type was statistically significant, X^2(16, N = 91) = 27.1367, p = 0.039989. A corrected analysis using file-based model labels retained all 120 observations and also yielded a significant result, X^2(12, N = 120) = 57.2667, p = 0.000000. These findings suggest that the models did not generate scenario categories in a statistically equivalent distribution.</w:t>
      </w:r>
    </w:p>
    <w:p>
      <w:pPr>
        <w:pStyle w:val="Heading1"/>
      </w:pPr>
      <w:r>
        <w:rPr>
          <w:rFonts w:ascii="Calibri" w:hAnsi="Calibri"/>
          <w:sz w:val="21"/>
        </w:rPr>
        <w:t>Caution for Interpretation</w:t>
      </w:r>
    </w:p>
    <w:p>
      <w:r>
        <w:rPr>
          <w:rFonts w:ascii="Calibri" w:hAnsi="Calibri"/>
          <w:sz w:val="21"/>
        </w:rPr>
        <w:t>The corrected analysis resolves the missing Model-label issue by using file identity, but several expected cell frequencies remain small. The minimum expected frequency in the corrected analysis was 0.250. Therefore, although the chi-square tests indicate a statistically significant association, the result should be interpreted with caution as suggestive evidence of model-specific scenario-generation tendencies rather than as a definitive population-level estimate.</w:t>
      </w:r>
    </w:p>
    <w:p>
      <w:pPr>
        <w:pStyle w:val="Heading1"/>
      </w:pPr>
      <w:r>
        <w:rPr>
          <w:rFonts w:ascii="Calibri" w:hAnsi="Calibri"/>
          <w:sz w:val="21"/>
        </w:rPr>
        <w:t>Suggested Reporting Sentence</w:t>
      </w:r>
    </w:p>
    <w:p>
      <w:r>
        <w:rPr>
          <w:rFonts w:ascii="Calibri" w:hAnsi="Calibri"/>
          <w:sz w:val="21"/>
        </w:rPr>
        <w:t>The chi-square test of independence indicated a statistically significant association between LLM type and scenario type, suggesting that the models differed in the types of scenarios they generated. This result remained significant after applying file-based model labels to retain all analyzed observations. However, because several expected cell counts were small, the result should be interpreted as suggestive rather than conclusive evidence of model-specific scenario-generation tendencies.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